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BB" w:rsidRPr="006A4ECE" w:rsidRDefault="009E68BB" w:rsidP="009E68BB">
      <w:pPr>
        <w:spacing w:line="560" w:lineRule="exact"/>
        <w:ind w:firstLineChars="300" w:firstLine="1140"/>
        <w:rPr>
          <w:rFonts w:asciiTheme="minorEastAsia" w:eastAsiaTheme="minorEastAsia" w:hAnsiTheme="minorEastAsia"/>
          <w:sz w:val="38"/>
          <w:szCs w:val="38"/>
        </w:rPr>
      </w:pPr>
      <w:r w:rsidRPr="006A4ECE">
        <w:rPr>
          <w:rFonts w:asciiTheme="minorEastAsia" w:eastAsiaTheme="minorEastAsia" w:hAnsiTheme="minorEastAsia" w:hint="eastAsia"/>
          <w:sz w:val="38"/>
          <w:szCs w:val="38"/>
        </w:rPr>
        <w:t>浙江诸暨联合村镇银行股份有限公司</w:t>
      </w:r>
    </w:p>
    <w:p w:rsidR="009E68BB" w:rsidRPr="006A4ECE" w:rsidRDefault="009E68BB" w:rsidP="009E68BB">
      <w:pPr>
        <w:spacing w:line="560" w:lineRule="exact"/>
        <w:jc w:val="center"/>
        <w:rPr>
          <w:rFonts w:asciiTheme="minorEastAsia" w:eastAsiaTheme="minorEastAsia" w:hAnsiTheme="minorEastAsia"/>
          <w:sz w:val="38"/>
          <w:szCs w:val="38"/>
        </w:rPr>
      </w:pPr>
      <w:r w:rsidRPr="006A4ECE">
        <w:rPr>
          <w:rFonts w:asciiTheme="minorEastAsia" w:eastAsiaTheme="minorEastAsia" w:hAnsiTheme="minorEastAsia" w:hint="eastAsia"/>
          <w:sz w:val="38"/>
          <w:szCs w:val="38"/>
        </w:rPr>
        <w:t>2021年度信息披露报告</w:t>
      </w:r>
    </w:p>
    <w:p w:rsidR="009E68BB" w:rsidRPr="006A4ECE" w:rsidRDefault="009E68BB" w:rsidP="009E68BB">
      <w:pPr>
        <w:spacing w:line="560" w:lineRule="exact"/>
        <w:jc w:val="left"/>
        <w:rPr>
          <w:rFonts w:asciiTheme="minorEastAsia" w:eastAsiaTheme="minorEastAsia" w:hAnsiTheme="minorEastAsia"/>
          <w:sz w:val="36"/>
          <w:szCs w:val="36"/>
        </w:rPr>
      </w:pPr>
    </w:p>
    <w:p w:rsidR="009E68BB" w:rsidRPr="006A4ECE" w:rsidRDefault="009E68BB" w:rsidP="009E68BB">
      <w:pPr>
        <w:spacing w:line="560" w:lineRule="exact"/>
        <w:ind w:firstLineChars="200" w:firstLine="600"/>
        <w:jc w:val="left"/>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根据《银行业金融机构外部审计监管指引》（银监发〔2010〕73号）、《商业银行信息披露办法》（中国银行业监督管理委员会令〔2007〕7号）、《商业银行公司治理指引》（银监发〔2013〕34号）的有关规定，浙江诸暨联合村镇银行股份有限公司（以下简称“本行”）对2021年度进行信息披露。本行董事会、高级管理层、运营管理部保证该报告中财务数据真实、完整。</w:t>
      </w:r>
    </w:p>
    <w:p w:rsidR="009E68BB" w:rsidRPr="006A4ECE" w:rsidRDefault="009E68BB" w:rsidP="009E68BB">
      <w:pPr>
        <w:spacing w:line="560" w:lineRule="exact"/>
        <w:ind w:firstLineChars="198" w:firstLine="594"/>
        <w:jc w:val="left"/>
        <w:rPr>
          <w:rFonts w:asciiTheme="minorEastAsia" w:eastAsiaTheme="minorEastAsia" w:hAnsiTheme="minorEastAsia" w:cs="黑体"/>
          <w:bCs/>
          <w:sz w:val="30"/>
          <w:szCs w:val="30"/>
        </w:rPr>
      </w:pPr>
      <w:r w:rsidRPr="006A4ECE">
        <w:rPr>
          <w:rFonts w:asciiTheme="minorEastAsia" w:eastAsiaTheme="minorEastAsia" w:hAnsiTheme="minorEastAsia" w:cs="黑体" w:hint="eastAsia"/>
          <w:bCs/>
          <w:sz w:val="30"/>
          <w:szCs w:val="30"/>
        </w:rPr>
        <w:t>一、公司基本情况简介</w:t>
      </w:r>
    </w:p>
    <w:p w:rsidR="009E68BB" w:rsidRPr="006A4ECE" w:rsidRDefault="009E68BB" w:rsidP="009E68BB">
      <w:pPr>
        <w:spacing w:line="560" w:lineRule="exact"/>
        <w:ind w:leftChars="-2" w:left="-4" w:firstLineChars="209" w:firstLine="627"/>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浙江诸暨联合村镇银行股份有限公司于2013年9月23日经中国银行业监督管理委员会绍兴监管分局〔2013〕134号文批准开业，2013年9月24日取得由中国银行业监督管理委员会绍兴监管分局颁发的00518142号金融许可证，于2013年9月25日由浙江省绍兴市工商行政管理局颁发注册号为330600000172166号企业法人营业执照。</w:t>
      </w:r>
    </w:p>
    <w:p w:rsidR="009E68BB" w:rsidRPr="006A4ECE" w:rsidRDefault="009E68BB" w:rsidP="009E68BB">
      <w:pPr>
        <w:spacing w:line="560" w:lineRule="exact"/>
        <w:ind w:leftChars="-2" w:left="-4" w:firstLineChars="209" w:firstLine="627"/>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本行现注册资本为人民币贰亿元，经绍兴大统会计师事务所有限公司验证并出具绍统会所验字〔2013〕059号验资报告；法定代表人：俞国荣；注册地址：浙江省诸暨市暨东路70号。</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本行主要经营范围：吸收人民币公众存款；发放人民币短期、中期和长期贷款；办理国内结算；办理票据承兑与贴现；代理发行、代理兑付、承销政府债券；买卖政府债券、金融债券；从事人民币同业拆借；从事借记卡业务；代理收付款项；经银行保险监督管理机构批准的其他业务。</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lastRenderedPageBreak/>
        <w:t>本行下设营业部、草塔支行、次坞支行、枫桥支行、牌头支行、璜山支行、店口支行、三角广场便民服务点、袁家便民服务点、赵家金融便民服务点、应店街金融便民服务点、五泄金融便民服务点、姚江金融便民服务点，暨南金融便民服务点、同山金融便民服务点、安华金融便民服务点，共计16处营业网点。</w:t>
      </w:r>
    </w:p>
    <w:p w:rsidR="009E68BB" w:rsidRPr="006A4ECE" w:rsidRDefault="009E68BB" w:rsidP="009E68BB">
      <w:pPr>
        <w:spacing w:line="560" w:lineRule="exact"/>
        <w:ind w:firstLineChars="198" w:firstLine="594"/>
        <w:jc w:val="left"/>
        <w:rPr>
          <w:rFonts w:asciiTheme="minorEastAsia" w:eastAsiaTheme="minorEastAsia" w:hAnsiTheme="minorEastAsia" w:cs="黑体"/>
          <w:bCs/>
          <w:sz w:val="30"/>
          <w:szCs w:val="30"/>
        </w:rPr>
      </w:pPr>
      <w:r w:rsidRPr="006A4ECE">
        <w:rPr>
          <w:rFonts w:asciiTheme="minorEastAsia" w:eastAsiaTheme="minorEastAsia" w:hAnsiTheme="minorEastAsia" w:cs="黑体" w:hint="eastAsia"/>
          <w:bCs/>
          <w:sz w:val="30"/>
          <w:szCs w:val="30"/>
        </w:rPr>
        <w:t>二、财务会计报告</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本行以持续经营为基础，根据实际发生的交易和事项，按照《企业会计准则—基本准则》和其他各项具体会计准则的规定进行确认和计量，在此基础上编制财务报表。</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本行编制的财务报表符合企业会计准则的要求，真实、完整地反映了本行的财务状况、经营成果和现金流量等有关信息。</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本行年度财务报告经中汇会计师事务所(特殊普通合伙)根据中国注册会计师审计准则审计，并出具了无保留意见的审计报告。</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现就2021年度财务会计情况披露如下：</w:t>
      </w:r>
    </w:p>
    <w:p w:rsidR="009E68BB" w:rsidRPr="006A4ECE" w:rsidRDefault="009E68BB" w:rsidP="006A4ECE">
      <w:pPr>
        <w:spacing w:line="560" w:lineRule="exact"/>
        <w:ind w:firstLineChars="200" w:firstLine="602"/>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（一）会计报表</w:t>
      </w:r>
    </w:p>
    <w:p w:rsidR="009E68BB" w:rsidRPr="006A4ECE" w:rsidRDefault="009E68BB" w:rsidP="006A4ECE">
      <w:pPr>
        <w:spacing w:line="560" w:lineRule="exact"/>
        <w:ind w:firstLineChars="200" w:firstLine="602"/>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1、资产负债表</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编制单位：浙江诸暨联合村镇银行股份有限公司</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编制月份：2021年12月  单位：人民币元</w:t>
      </w:r>
    </w:p>
    <w:tbl>
      <w:tblPr>
        <w:tblW w:w="10452"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4"/>
        <w:gridCol w:w="1760"/>
        <w:gridCol w:w="1795"/>
        <w:gridCol w:w="1647"/>
        <w:gridCol w:w="1690"/>
        <w:gridCol w:w="1766"/>
      </w:tblGrid>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jc w:val="center"/>
              <w:rPr>
                <w:rFonts w:asciiTheme="minorEastAsia" w:eastAsiaTheme="minorEastAsia" w:hAnsiTheme="minorEastAsia" w:cs="宋体"/>
                <w:b/>
                <w:bCs/>
                <w:color w:val="000000"/>
                <w:szCs w:val="21"/>
              </w:rPr>
            </w:pPr>
            <w:r w:rsidRPr="006A4ECE">
              <w:rPr>
                <w:rFonts w:asciiTheme="minorEastAsia" w:eastAsiaTheme="minorEastAsia" w:hAnsiTheme="minorEastAsia" w:hint="eastAsia"/>
                <w:b/>
                <w:bCs/>
                <w:color w:val="000000"/>
                <w:szCs w:val="21"/>
              </w:rPr>
              <w:t xml:space="preserve"> 资 产 </w:t>
            </w:r>
          </w:p>
        </w:tc>
        <w:tc>
          <w:tcPr>
            <w:tcW w:w="1760" w:type="dxa"/>
            <w:shd w:val="clear" w:color="auto" w:fill="auto"/>
            <w:vAlign w:val="center"/>
          </w:tcPr>
          <w:p w:rsidR="009E68BB" w:rsidRPr="006A4ECE" w:rsidRDefault="009E68BB" w:rsidP="00063487">
            <w:pPr>
              <w:spacing w:line="260" w:lineRule="exact"/>
              <w:jc w:val="center"/>
              <w:rPr>
                <w:rFonts w:asciiTheme="minorEastAsia" w:eastAsiaTheme="minorEastAsia" w:hAnsiTheme="minorEastAsia" w:cs="宋体"/>
                <w:b/>
                <w:bCs/>
                <w:color w:val="000000"/>
                <w:szCs w:val="21"/>
              </w:rPr>
            </w:pPr>
            <w:r w:rsidRPr="006A4ECE">
              <w:rPr>
                <w:rFonts w:asciiTheme="minorEastAsia" w:eastAsiaTheme="minorEastAsia" w:hAnsiTheme="minorEastAsia" w:hint="eastAsia"/>
                <w:b/>
                <w:bCs/>
                <w:color w:val="000000"/>
                <w:szCs w:val="21"/>
              </w:rPr>
              <w:t xml:space="preserve"> 期末数 </w:t>
            </w:r>
          </w:p>
        </w:tc>
        <w:tc>
          <w:tcPr>
            <w:tcW w:w="1795" w:type="dxa"/>
            <w:shd w:val="clear" w:color="auto" w:fill="auto"/>
            <w:vAlign w:val="center"/>
          </w:tcPr>
          <w:p w:rsidR="009E68BB" w:rsidRPr="006A4ECE" w:rsidRDefault="009E68BB" w:rsidP="00063487">
            <w:pPr>
              <w:spacing w:line="260" w:lineRule="exact"/>
              <w:jc w:val="center"/>
              <w:rPr>
                <w:rFonts w:asciiTheme="minorEastAsia" w:eastAsiaTheme="minorEastAsia" w:hAnsiTheme="minorEastAsia" w:cs="宋体"/>
                <w:b/>
                <w:bCs/>
                <w:color w:val="000000"/>
                <w:szCs w:val="21"/>
              </w:rPr>
            </w:pPr>
            <w:r w:rsidRPr="006A4ECE">
              <w:rPr>
                <w:rFonts w:asciiTheme="minorEastAsia" w:eastAsiaTheme="minorEastAsia" w:hAnsiTheme="minorEastAsia" w:hint="eastAsia"/>
                <w:b/>
                <w:bCs/>
                <w:color w:val="000000"/>
                <w:szCs w:val="21"/>
              </w:rPr>
              <w:t xml:space="preserve"> 期初数 </w:t>
            </w:r>
          </w:p>
        </w:tc>
        <w:tc>
          <w:tcPr>
            <w:tcW w:w="1647" w:type="dxa"/>
            <w:shd w:val="clear" w:color="auto" w:fill="auto"/>
            <w:vAlign w:val="center"/>
          </w:tcPr>
          <w:p w:rsidR="009E68BB" w:rsidRPr="006A4ECE" w:rsidRDefault="009E68BB" w:rsidP="00063487">
            <w:pPr>
              <w:spacing w:line="260" w:lineRule="exact"/>
              <w:jc w:val="center"/>
              <w:rPr>
                <w:rFonts w:asciiTheme="minorEastAsia" w:eastAsiaTheme="minorEastAsia" w:hAnsiTheme="minorEastAsia" w:cs="宋体"/>
                <w:b/>
                <w:bCs/>
                <w:color w:val="000000"/>
                <w:szCs w:val="21"/>
              </w:rPr>
            </w:pPr>
            <w:r w:rsidRPr="006A4ECE">
              <w:rPr>
                <w:rFonts w:asciiTheme="minorEastAsia" w:eastAsiaTheme="minorEastAsia" w:hAnsiTheme="minorEastAsia" w:hint="eastAsia"/>
                <w:b/>
                <w:bCs/>
                <w:color w:val="000000"/>
                <w:szCs w:val="21"/>
              </w:rPr>
              <w:t xml:space="preserve"> 负债和所有者权益 </w:t>
            </w:r>
          </w:p>
        </w:tc>
        <w:tc>
          <w:tcPr>
            <w:tcW w:w="1690" w:type="dxa"/>
            <w:shd w:val="clear" w:color="auto" w:fill="auto"/>
            <w:vAlign w:val="center"/>
          </w:tcPr>
          <w:p w:rsidR="009E68BB" w:rsidRPr="006A4ECE" w:rsidRDefault="009E68BB" w:rsidP="00063487">
            <w:pPr>
              <w:spacing w:line="260" w:lineRule="exact"/>
              <w:jc w:val="center"/>
              <w:rPr>
                <w:rFonts w:asciiTheme="minorEastAsia" w:eastAsiaTheme="minorEastAsia" w:hAnsiTheme="minorEastAsia" w:cs="宋体"/>
                <w:b/>
                <w:bCs/>
                <w:color w:val="000000"/>
                <w:szCs w:val="21"/>
              </w:rPr>
            </w:pPr>
            <w:r w:rsidRPr="006A4ECE">
              <w:rPr>
                <w:rFonts w:asciiTheme="minorEastAsia" w:eastAsiaTheme="minorEastAsia" w:hAnsiTheme="minorEastAsia" w:hint="eastAsia"/>
                <w:b/>
                <w:bCs/>
                <w:color w:val="000000"/>
                <w:szCs w:val="21"/>
              </w:rPr>
              <w:t xml:space="preserve"> 期末数 </w:t>
            </w:r>
          </w:p>
        </w:tc>
        <w:tc>
          <w:tcPr>
            <w:tcW w:w="1766" w:type="dxa"/>
            <w:shd w:val="clear" w:color="auto" w:fill="auto"/>
            <w:vAlign w:val="center"/>
          </w:tcPr>
          <w:p w:rsidR="009E68BB" w:rsidRPr="006A4ECE" w:rsidRDefault="009E68BB" w:rsidP="00063487">
            <w:pPr>
              <w:spacing w:line="260" w:lineRule="exact"/>
              <w:jc w:val="center"/>
              <w:rPr>
                <w:rFonts w:asciiTheme="minorEastAsia" w:eastAsiaTheme="minorEastAsia" w:hAnsiTheme="minorEastAsia" w:cs="宋体"/>
                <w:b/>
                <w:bCs/>
                <w:color w:val="000000"/>
                <w:szCs w:val="21"/>
              </w:rPr>
            </w:pPr>
            <w:r w:rsidRPr="006A4ECE">
              <w:rPr>
                <w:rFonts w:asciiTheme="minorEastAsia" w:eastAsiaTheme="minorEastAsia" w:hAnsiTheme="minorEastAsia" w:hint="eastAsia"/>
                <w:b/>
                <w:bCs/>
                <w:color w:val="000000"/>
                <w:szCs w:val="21"/>
              </w:rPr>
              <w:t xml:space="preserve"> 期初数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b/>
                <w:color w:val="000000"/>
                <w:szCs w:val="21"/>
              </w:rPr>
            </w:pPr>
            <w:r w:rsidRPr="006A4ECE">
              <w:rPr>
                <w:rFonts w:asciiTheme="minorEastAsia" w:eastAsiaTheme="minorEastAsia" w:hAnsiTheme="minorEastAsia" w:hint="eastAsia"/>
                <w:b/>
                <w:color w:val="000000"/>
                <w:szCs w:val="21"/>
              </w:rPr>
              <w:t xml:space="preserve">资产： </w:t>
            </w:r>
          </w:p>
        </w:tc>
        <w:tc>
          <w:tcPr>
            <w:tcW w:w="3555" w:type="dxa"/>
            <w:gridSpan w:val="2"/>
            <w:shd w:val="clear" w:color="auto" w:fill="auto"/>
            <w:vAlign w:val="center"/>
          </w:tcPr>
          <w:p w:rsidR="009E68BB" w:rsidRPr="006A4ECE" w:rsidRDefault="009E68BB" w:rsidP="00063487">
            <w:pPr>
              <w:spacing w:line="260" w:lineRule="exact"/>
              <w:jc w:val="right"/>
              <w:rPr>
                <w:rFonts w:asciiTheme="minorEastAsia" w:eastAsiaTheme="minorEastAsia" w:hAnsiTheme="minorEastAsia"/>
                <w:color w:val="C0C0C0"/>
                <w:szCs w:val="21"/>
              </w:rPr>
            </w:pPr>
            <w:r w:rsidRPr="006A4ECE">
              <w:rPr>
                <w:rFonts w:asciiTheme="minorEastAsia" w:eastAsiaTheme="minorEastAsia" w:hAnsiTheme="minorEastAsia"/>
                <w:color w:val="C0C0C0"/>
                <w:szCs w:val="21"/>
              </w:rPr>
              <w:t xml:space="preserve">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b/>
                <w:color w:val="000000"/>
                <w:szCs w:val="21"/>
              </w:rPr>
            </w:pPr>
            <w:r w:rsidRPr="006A4ECE">
              <w:rPr>
                <w:rFonts w:asciiTheme="minorEastAsia" w:eastAsiaTheme="minorEastAsia" w:hAnsiTheme="minorEastAsia" w:hint="eastAsia"/>
                <w:b/>
                <w:color w:val="000000"/>
                <w:szCs w:val="21"/>
              </w:rPr>
              <w:t xml:space="preserve">负债： </w:t>
            </w:r>
          </w:p>
        </w:tc>
        <w:tc>
          <w:tcPr>
            <w:tcW w:w="3456" w:type="dxa"/>
            <w:gridSpan w:val="2"/>
            <w:shd w:val="clear" w:color="auto" w:fill="auto"/>
            <w:vAlign w:val="center"/>
          </w:tcPr>
          <w:p w:rsidR="009E68BB" w:rsidRPr="006A4ECE" w:rsidRDefault="009E68BB" w:rsidP="00063487">
            <w:pPr>
              <w:spacing w:line="260" w:lineRule="exact"/>
              <w:jc w:val="right"/>
              <w:rPr>
                <w:rFonts w:asciiTheme="minorEastAsia" w:eastAsiaTheme="minorEastAsia" w:hAnsiTheme="minorEastAsia"/>
                <w:color w:val="C0C0C0"/>
                <w:szCs w:val="21"/>
              </w:rPr>
            </w:pPr>
            <w:r w:rsidRPr="006A4ECE">
              <w:rPr>
                <w:rFonts w:asciiTheme="minorEastAsia" w:eastAsiaTheme="minorEastAsia" w:hAnsiTheme="minorEastAsia"/>
                <w:color w:val="C0C0C0"/>
                <w:szCs w:val="21"/>
              </w:rPr>
              <w:t xml:space="preserve">　</w:t>
            </w:r>
          </w:p>
        </w:tc>
      </w:tr>
      <w:tr w:rsidR="009E68BB" w:rsidRPr="006A4ECE" w:rsidTr="00063487">
        <w:trPr>
          <w:trHeight w:val="348"/>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现金及存放中央银行款项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171,105,739.53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157,750,218.49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向中央银行借款 </w:t>
            </w:r>
          </w:p>
        </w:tc>
        <w:tc>
          <w:tcPr>
            <w:tcW w:w="169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630,554,561.00 </w:t>
            </w: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791,998,163.00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贵金属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同业及其他金融机构存放款 </w:t>
            </w:r>
          </w:p>
        </w:tc>
        <w:tc>
          <w:tcPr>
            <w:tcW w:w="169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存放同业款项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354,373,778.85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554,010,423.24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拆入资金 </w:t>
            </w:r>
          </w:p>
        </w:tc>
        <w:tc>
          <w:tcPr>
            <w:tcW w:w="169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拆出资金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以公允价值计量且其变动计入当期损益的</w:t>
            </w:r>
            <w:r w:rsidRPr="006A4ECE">
              <w:rPr>
                <w:rFonts w:asciiTheme="minorEastAsia" w:eastAsiaTheme="minorEastAsia" w:hAnsiTheme="minorEastAsia" w:hint="eastAsia"/>
                <w:color w:val="000000"/>
                <w:szCs w:val="21"/>
              </w:rPr>
              <w:lastRenderedPageBreak/>
              <w:t xml:space="preserve">金融负债 </w:t>
            </w:r>
          </w:p>
        </w:tc>
        <w:tc>
          <w:tcPr>
            <w:tcW w:w="169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lastRenderedPageBreak/>
              <w:t xml:space="preserve">衍生金融资产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衍生金融负债 </w:t>
            </w:r>
          </w:p>
        </w:tc>
        <w:tc>
          <w:tcPr>
            <w:tcW w:w="169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以公允价值计量且其变动计入当期损益的金融资产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卖出回购金融资产款 </w:t>
            </w:r>
          </w:p>
        </w:tc>
        <w:tc>
          <w:tcPr>
            <w:tcW w:w="169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r>
      <w:tr w:rsidR="009E68BB" w:rsidRPr="006A4ECE" w:rsidTr="00063487">
        <w:trPr>
          <w:trHeight w:val="319"/>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买入返售金融资产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吸收存款 </w:t>
            </w:r>
          </w:p>
        </w:tc>
        <w:tc>
          <w:tcPr>
            <w:tcW w:w="169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2,482,577,454.16 </w:t>
            </w: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2,280,204,133.08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应收利息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6,934,517.05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应付职工薪酬 </w:t>
            </w:r>
          </w:p>
        </w:tc>
        <w:tc>
          <w:tcPr>
            <w:tcW w:w="169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9,808,367.90 </w:t>
            </w: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7,233,690.37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发放贷款和垫款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2,967,582,348.23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2,755,686,550.55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应交税费 </w:t>
            </w:r>
          </w:p>
        </w:tc>
        <w:tc>
          <w:tcPr>
            <w:tcW w:w="169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5,380,376.89 </w:t>
            </w: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4,842,532.29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持有待售资产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应付利息 </w:t>
            </w:r>
          </w:p>
        </w:tc>
        <w:tc>
          <w:tcPr>
            <w:tcW w:w="169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39,127,843.11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可供出售金融资产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持有待售负债 </w:t>
            </w:r>
          </w:p>
        </w:tc>
        <w:tc>
          <w:tcPr>
            <w:tcW w:w="169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持有至到期投资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应付债券 </w:t>
            </w:r>
          </w:p>
        </w:tc>
        <w:tc>
          <w:tcPr>
            <w:tcW w:w="169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应收款项类投资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递延所得税负债 </w:t>
            </w:r>
          </w:p>
        </w:tc>
        <w:tc>
          <w:tcPr>
            <w:tcW w:w="169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长期股权投资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预计负债 </w:t>
            </w:r>
          </w:p>
        </w:tc>
        <w:tc>
          <w:tcPr>
            <w:tcW w:w="169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1,817,801.45 </w:t>
            </w: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投资性房地产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其他负债 </w:t>
            </w:r>
          </w:p>
        </w:tc>
        <w:tc>
          <w:tcPr>
            <w:tcW w:w="169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25,896,975.63</w:t>
            </w: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29,232,198.69 </w:t>
            </w:r>
          </w:p>
        </w:tc>
      </w:tr>
      <w:tr w:rsidR="009E68BB" w:rsidRPr="006A4ECE" w:rsidTr="00063487">
        <w:trPr>
          <w:trHeight w:val="315"/>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固定资产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3,767,677.61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3,123,718.09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负债合计 </w:t>
            </w:r>
          </w:p>
        </w:tc>
        <w:tc>
          <w:tcPr>
            <w:tcW w:w="169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3,164,536,155.29 </w:t>
            </w: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3,152,638,560.54 </w:t>
            </w:r>
          </w:p>
        </w:tc>
      </w:tr>
      <w:tr w:rsidR="009E68BB" w:rsidRPr="006A4ECE" w:rsidTr="00063487">
        <w:trPr>
          <w:trHeight w:val="372"/>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在建工程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18,491,472.26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2,149,931.10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b/>
                <w:color w:val="000000"/>
                <w:szCs w:val="21"/>
              </w:rPr>
            </w:pPr>
            <w:r w:rsidRPr="006A4ECE">
              <w:rPr>
                <w:rFonts w:asciiTheme="minorEastAsia" w:eastAsiaTheme="minorEastAsia" w:hAnsiTheme="minorEastAsia" w:hint="eastAsia"/>
                <w:b/>
                <w:color w:val="000000"/>
                <w:szCs w:val="21"/>
              </w:rPr>
              <w:t xml:space="preserve">所有者权益： </w:t>
            </w:r>
          </w:p>
        </w:tc>
        <w:tc>
          <w:tcPr>
            <w:tcW w:w="3456" w:type="dxa"/>
            <w:gridSpan w:val="2"/>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无形资产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6,530,192.54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6,705,892.82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股本 </w:t>
            </w:r>
          </w:p>
        </w:tc>
        <w:tc>
          <w:tcPr>
            <w:tcW w:w="169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200,000,000.00 </w:t>
            </w: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200,000,000.00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长期待摊费用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0.00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其他权益工具 </w:t>
            </w:r>
          </w:p>
        </w:tc>
        <w:tc>
          <w:tcPr>
            <w:tcW w:w="169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递延所得税资产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20,218,504.01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20,393,160.63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其中：优先股 </w:t>
            </w:r>
          </w:p>
        </w:tc>
        <w:tc>
          <w:tcPr>
            <w:tcW w:w="169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其他资产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13,627,343.23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8,980,876.89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永续债 </w:t>
            </w:r>
          </w:p>
        </w:tc>
        <w:tc>
          <w:tcPr>
            <w:tcW w:w="169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c>
          <w:tcPr>
            <w:tcW w:w="176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资本公积 </w:t>
            </w:r>
          </w:p>
        </w:tc>
        <w:tc>
          <w:tcPr>
            <w:tcW w:w="169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c>
          <w:tcPr>
            <w:tcW w:w="176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95" w:type="dxa"/>
            <w:shd w:val="clear" w:color="auto" w:fill="auto"/>
            <w:vAlign w:val="center"/>
          </w:tcPr>
          <w:p w:rsidR="009E68BB" w:rsidRPr="006A4ECE" w:rsidRDefault="009E68BB" w:rsidP="00063487">
            <w:pPr>
              <w:spacing w:line="260" w:lineRule="exact"/>
              <w:ind w:right="220"/>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减：库存股 </w:t>
            </w:r>
          </w:p>
        </w:tc>
        <w:tc>
          <w:tcPr>
            <w:tcW w:w="169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c>
          <w:tcPr>
            <w:tcW w:w="176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其他综合收益 </w:t>
            </w:r>
          </w:p>
        </w:tc>
        <w:tc>
          <w:tcPr>
            <w:tcW w:w="169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c>
          <w:tcPr>
            <w:tcW w:w="176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盈余公积 </w:t>
            </w:r>
          </w:p>
        </w:tc>
        <w:tc>
          <w:tcPr>
            <w:tcW w:w="169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19,113,047.94 </w:t>
            </w: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14,680,217.15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c>
          <w:tcPr>
            <w:tcW w:w="176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一般风险准备 </w:t>
            </w:r>
          </w:p>
        </w:tc>
        <w:tc>
          <w:tcPr>
            <w:tcW w:w="169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48,267,003.66 </w:t>
            </w: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38,634,344.33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c>
          <w:tcPr>
            <w:tcW w:w="176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未分配利润 </w:t>
            </w:r>
          </w:p>
        </w:tc>
        <w:tc>
          <w:tcPr>
            <w:tcW w:w="169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133,086,808.52 </w:t>
            </w: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109,782,166.84 </w:t>
            </w:r>
          </w:p>
        </w:tc>
      </w:tr>
      <w:tr w:rsidR="009E68BB" w:rsidRPr="006A4ECE" w:rsidTr="00063487">
        <w:trPr>
          <w:trHeight w:val="380"/>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c>
          <w:tcPr>
            <w:tcW w:w="1760"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所有者权益合计 </w:t>
            </w:r>
          </w:p>
        </w:tc>
        <w:tc>
          <w:tcPr>
            <w:tcW w:w="169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400,466,860.12 </w:t>
            </w: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363,096,728.32 </w:t>
            </w:r>
          </w:p>
        </w:tc>
      </w:tr>
      <w:tr w:rsidR="009E68BB" w:rsidRPr="006A4ECE" w:rsidTr="00063487">
        <w:trPr>
          <w:trHeight w:val="702"/>
          <w:jc w:val="center"/>
        </w:trPr>
        <w:tc>
          <w:tcPr>
            <w:tcW w:w="1794"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b/>
                <w:bCs/>
                <w:color w:val="000000"/>
                <w:szCs w:val="21"/>
              </w:rPr>
            </w:pPr>
            <w:r w:rsidRPr="006A4ECE">
              <w:rPr>
                <w:rFonts w:asciiTheme="minorEastAsia" w:eastAsiaTheme="minorEastAsia" w:hAnsiTheme="minorEastAsia" w:hint="eastAsia"/>
                <w:b/>
                <w:bCs/>
                <w:color w:val="000000"/>
                <w:szCs w:val="21"/>
              </w:rPr>
              <w:t xml:space="preserve"> 资产总计 </w:t>
            </w:r>
          </w:p>
        </w:tc>
        <w:tc>
          <w:tcPr>
            <w:tcW w:w="176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3,565,003,015.41 </w:t>
            </w:r>
          </w:p>
        </w:tc>
        <w:tc>
          <w:tcPr>
            <w:tcW w:w="1795"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3,515,735,288.86 </w:t>
            </w:r>
          </w:p>
        </w:tc>
        <w:tc>
          <w:tcPr>
            <w:tcW w:w="1647" w:type="dxa"/>
            <w:shd w:val="clear" w:color="auto" w:fill="auto"/>
            <w:vAlign w:val="center"/>
          </w:tcPr>
          <w:p w:rsidR="009E68BB" w:rsidRPr="006A4ECE" w:rsidRDefault="009E68BB" w:rsidP="00063487">
            <w:pPr>
              <w:spacing w:line="260" w:lineRule="exact"/>
              <w:rPr>
                <w:rFonts w:asciiTheme="minorEastAsia" w:eastAsiaTheme="minorEastAsia" w:hAnsiTheme="minorEastAsia" w:cs="宋体"/>
                <w:b/>
                <w:bCs/>
                <w:color w:val="000000"/>
                <w:szCs w:val="21"/>
              </w:rPr>
            </w:pPr>
            <w:r w:rsidRPr="006A4ECE">
              <w:rPr>
                <w:rFonts w:asciiTheme="minorEastAsia" w:eastAsiaTheme="minorEastAsia" w:hAnsiTheme="minorEastAsia" w:hint="eastAsia"/>
                <w:b/>
                <w:bCs/>
                <w:color w:val="000000"/>
                <w:szCs w:val="21"/>
              </w:rPr>
              <w:t xml:space="preserve">负债及所有者权益总计 </w:t>
            </w:r>
          </w:p>
        </w:tc>
        <w:tc>
          <w:tcPr>
            <w:tcW w:w="1690"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3,565,003,015.41 </w:t>
            </w:r>
          </w:p>
        </w:tc>
        <w:tc>
          <w:tcPr>
            <w:tcW w:w="1766" w:type="dxa"/>
            <w:shd w:val="clear" w:color="auto" w:fill="auto"/>
            <w:vAlign w:val="center"/>
          </w:tcPr>
          <w:p w:rsidR="009E68BB" w:rsidRPr="006A4ECE" w:rsidRDefault="009E68BB" w:rsidP="00063487">
            <w:pPr>
              <w:spacing w:line="260" w:lineRule="exact"/>
              <w:jc w:val="right"/>
              <w:rPr>
                <w:rFonts w:asciiTheme="minorEastAsia" w:eastAsiaTheme="minorEastAsia" w:hAnsiTheme="minorEastAsia" w:cs="宋体"/>
                <w:color w:val="000000"/>
                <w:szCs w:val="21"/>
              </w:rPr>
            </w:pPr>
            <w:r w:rsidRPr="006A4ECE">
              <w:rPr>
                <w:rFonts w:asciiTheme="minorEastAsia" w:eastAsiaTheme="minorEastAsia" w:hAnsiTheme="minorEastAsia" w:hint="eastAsia"/>
                <w:color w:val="000000"/>
                <w:szCs w:val="21"/>
              </w:rPr>
              <w:t xml:space="preserve">3,515,735,288.86 </w:t>
            </w:r>
          </w:p>
        </w:tc>
      </w:tr>
    </w:tbl>
    <w:p w:rsidR="009E68BB" w:rsidRPr="006A4ECE" w:rsidRDefault="009E68BB" w:rsidP="009E68BB">
      <w:pPr>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br w:type="page"/>
      </w:r>
    </w:p>
    <w:p w:rsidR="009E68BB" w:rsidRPr="006A4ECE" w:rsidRDefault="009E68BB" w:rsidP="006A4ECE">
      <w:pPr>
        <w:spacing w:line="560" w:lineRule="exact"/>
        <w:ind w:firstLineChars="200" w:firstLine="602"/>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lastRenderedPageBreak/>
        <w:t>2、利润表</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编制单位：浙江诸暨联合村镇银行股份有限公司</w:t>
      </w:r>
    </w:p>
    <w:p w:rsidR="009E68BB" w:rsidRPr="006A4ECE" w:rsidRDefault="009E68BB" w:rsidP="009E68BB">
      <w:pPr>
        <w:spacing w:line="560" w:lineRule="exact"/>
        <w:ind w:firstLineChars="200" w:firstLine="600"/>
        <w:rPr>
          <w:rFonts w:asciiTheme="minorEastAsia" w:eastAsiaTheme="minorEastAsia" w:hAnsiTheme="minorEastAsia"/>
          <w:sz w:val="30"/>
          <w:szCs w:val="30"/>
          <w:highlight w:val="red"/>
        </w:rPr>
      </w:pPr>
      <w:r w:rsidRPr="006A4ECE">
        <w:rPr>
          <w:rFonts w:asciiTheme="minorEastAsia" w:eastAsiaTheme="minorEastAsia" w:hAnsiTheme="minorEastAsia" w:hint="eastAsia"/>
          <w:sz w:val="30"/>
          <w:szCs w:val="30"/>
        </w:rPr>
        <w:t>编制月份：2021年12月  单位：人民币元</w:t>
      </w:r>
    </w:p>
    <w:tbl>
      <w:tblPr>
        <w:tblW w:w="916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2007"/>
        <w:gridCol w:w="2052"/>
      </w:tblGrid>
      <w:tr w:rsidR="009E68BB" w:rsidRPr="006A4ECE" w:rsidTr="00063487">
        <w:trPr>
          <w:trHeight w:val="379"/>
          <w:jc w:val="center"/>
        </w:trPr>
        <w:tc>
          <w:tcPr>
            <w:tcW w:w="5104" w:type="dxa"/>
            <w:shd w:val="clear" w:color="auto" w:fill="auto"/>
            <w:vAlign w:val="center"/>
          </w:tcPr>
          <w:p w:rsidR="009E68BB" w:rsidRPr="006A4ECE" w:rsidRDefault="009E68BB" w:rsidP="00063487">
            <w:pPr>
              <w:widowControl/>
              <w:jc w:val="center"/>
              <w:rPr>
                <w:rFonts w:asciiTheme="minorEastAsia" w:eastAsiaTheme="minorEastAsia" w:hAnsiTheme="minorEastAsia" w:cs="宋体"/>
                <w:b/>
                <w:bCs/>
                <w:kern w:val="0"/>
                <w:sz w:val="24"/>
              </w:rPr>
            </w:pPr>
            <w:r w:rsidRPr="006A4ECE">
              <w:rPr>
                <w:rFonts w:asciiTheme="minorEastAsia" w:eastAsiaTheme="minorEastAsia" w:hAnsiTheme="minorEastAsia" w:cs="宋体" w:hint="eastAsia"/>
                <w:b/>
                <w:bCs/>
                <w:kern w:val="0"/>
                <w:sz w:val="24"/>
              </w:rPr>
              <w:t>项  目</w:t>
            </w:r>
          </w:p>
        </w:tc>
        <w:tc>
          <w:tcPr>
            <w:tcW w:w="2007" w:type="dxa"/>
            <w:shd w:val="clear" w:color="auto" w:fill="auto"/>
            <w:vAlign w:val="center"/>
          </w:tcPr>
          <w:p w:rsidR="009E68BB" w:rsidRPr="006A4ECE" w:rsidRDefault="009E68BB" w:rsidP="00063487">
            <w:pPr>
              <w:widowControl/>
              <w:jc w:val="center"/>
              <w:rPr>
                <w:rFonts w:asciiTheme="minorEastAsia" w:eastAsiaTheme="minorEastAsia" w:hAnsiTheme="minorEastAsia" w:cs="宋体"/>
                <w:b/>
                <w:bCs/>
                <w:kern w:val="0"/>
                <w:sz w:val="24"/>
              </w:rPr>
            </w:pPr>
            <w:r w:rsidRPr="006A4ECE">
              <w:rPr>
                <w:rFonts w:asciiTheme="minorEastAsia" w:eastAsiaTheme="minorEastAsia" w:hAnsiTheme="minorEastAsia" w:cs="宋体" w:hint="eastAsia"/>
                <w:b/>
                <w:bCs/>
                <w:kern w:val="0"/>
                <w:sz w:val="24"/>
              </w:rPr>
              <w:t>本期数</w:t>
            </w:r>
          </w:p>
        </w:tc>
        <w:tc>
          <w:tcPr>
            <w:tcW w:w="2052" w:type="dxa"/>
            <w:shd w:val="clear" w:color="auto" w:fill="auto"/>
            <w:vAlign w:val="center"/>
          </w:tcPr>
          <w:p w:rsidR="009E68BB" w:rsidRPr="006A4ECE" w:rsidRDefault="009E68BB" w:rsidP="00063487">
            <w:pPr>
              <w:widowControl/>
              <w:jc w:val="center"/>
              <w:rPr>
                <w:rFonts w:asciiTheme="minorEastAsia" w:eastAsiaTheme="minorEastAsia" w:hAnsiTheme="minorEastAsia" w:cs="宋体"/>
                <w:b/>
                <w:bCs/>
                <w:kern w:val="0"/>
                <w:sz w:val="24"/>
              </w:rPr>
            </w:pPr>
            <w:r w:rsidRPr="006A4ECE">
              <w:rPr>
                <w:rFonts w:asciiTheme="minorEastAsia" w:eastAsiaTheme="minorEastAsia" w:hAnsiTheme="minorEastAsia" w:cs="宋体" w:hint="eastAsia"/>
                <w:b/>
                <w:bCs/>
                <w:kern w:val="0"/>
                <w:sz w:val="24"/>
              </w:rPr>
              <w:t>上年数</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b/>
                <w:sz w:val="22"/>
                <w:szCs w:val="22"/>
              </w:rPr>
            </w:pPr>
            <w:r w:rsidRPr="006A4ECE">
              <w:rPr>
                <w:rFonts w:asciiTheme="minorEastAsia" w:eastAsiaTheme="minorEastAsia" w:hAnsiTheme="minorEastAsia" w:hint="eastAsia"/>
                <w:b/>
                <w:sz w:val="22"/>
                <w:szCs w:val="22"/>
              </w:rPr>
              <w:t>一、营业收入</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156,069,741.23</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126,418,886.76</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（一）利息净收入</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153,297,591.31</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128,110,935.61</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ind w:firstLineChars="300" w:firstLine="660"/>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利息收入</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226,539,659.18</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206,739,417.48</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ind w:firstLineChars="300" w:firstLine="660"/>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利息支出</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73,242,067.87</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78,628,481.87</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（二）手续费及佣金净收入</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-2,733,905.08</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-1,892,048.85</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ind w:firstLineChars="300" w:firstLine="660"/>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手续费及佣金收入</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224,334.52</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192,131.85</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ind w:firstLineChars="300" w:firstLine="660"/>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手续费及佣金支出</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2,958,239.60</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2,084,180.70</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（三）投资收益（损失以“-”号填列）</w:t>
            </w:r>
          </w:p>
        </w:tc>
        <w:tc>
          <w:tcPr>
            <w:tcW w:w="2007"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ind w:firstLineChars="300" w:firstLine="660"/>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其中：对联营企业和合营企业的投资收益</w:t>
            </w:r>
          </w:p>
        </w:tc>
        <w:tc>
          <w:tcPr>
            <w:tcW w:w="2007"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（四）公允价值变动收益（损失以“-”号填列）</w:t>
            </w:r>
          </w:p>
        </w:tc>
        <w:tc>
          <w:tcPr>
            <w:tcW w:w="2007"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（五）汇兑收益（损失以“-”号填列）</w:t>
            </w:r>
          </w:p>
        </w:tc>
        <w:tc>
          <w:tcPr>
            <w:tcW w:w="2007"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（六）资产处置收益（损失以“-”号填列）</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27,892</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0.00</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（七）其他收益（损失以“-”号填列）</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5,478,163.00</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200,000.00</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（八）其他业务收入</w:t>
            </w:r>
          </w:p>
        </w:tc>
        <w:tc>
          <w:tcPr>
            <w:tcW w:w="2007"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b/>
                <w:sz w:val="22"/>
                <w:szCs w:val="22"/>
              </w:rPr>
            </w:pPr>
            <w:r w:rsidRPr="006A4ECE">
              <w:rPr>
                <w:rFonts w:asciiTheme="minorEastAsia" w:eastAsiaTheme="minorEastAsia" w:hAnsiTheme="minorEastAsia" w:hint="eastAsia"/>
                <w:b/>
                <w:sz w:val="22"/>
                <w:szCs w:val="22"/>
              </w:rPr>
              <w:t>二、营业支出</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69,183,535.03</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67,552,419.75</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（一）税金及附加</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476,788.90</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450,110.44</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（二）业务及管理费</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63,706,746.13</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54,004,432.00</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（三）资产减值损失</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5,000,000.00</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13,097,877.31</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（四）其他业务成本</w:t>
            </w:r>
          </w:p>
        </w:tc>
        <w:tc>
          <w:tcPr>
            <w:tcW w:w="2007"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b/>
                <w:sz w:val="22"/>
                <w:szCs w:val="22"/>
              </w:rPr>
            </w:pPr>
            <w:r w:rsidRPr="006A4ECE">
              <w:rPr>
                <w:rFonts w:asciiTheme="minorEastAsia" w:eastAsiaTheme="minorEastAsia" w:hAnsiTheme="minorEastAsia" w:hint="eastAsia"/>
                <w:b/>
                <w:sz w:val="22"/>
                <w:szCs w:val="22"/>
              </w:rPr>
              <w:t>三、营业利润（亏损以“-”号填列）</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86,886,206.20</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58,866,467.01</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ind w:firstLineChars="200" w:firstLine="440"/>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加：营业外收入</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98,624.89</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118,410.00</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ind w:firstLineChars="200" w:firstLine="440"/>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减：营业外支出</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625,476.5</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200,000.00</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b/>
                <w:sz w:val="22"/>
                <w:szCs w:val="22"/>
              </w:rPr>
            </w:pPr>
            <w:r w:rsidRPr="006A4ECE">
              <w:rPr>
                <w:rFonts w:asciiTheme="minorEastAsia" w:eastAsiaTheme="minorEastAsia" w:hAnsiTheme="minorEastAsia" w:hint="eastAsia"/>
                <w:b/>
                <w:sz w:val="22"/>
                <w:szCs w:val="22"/>
              </w:rPr>
              <w:t>四、利润总额（亏损以“-”号填列）</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86,359,354.59</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58,784,877.01</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ind w:firstLineChars="200" w:firstLine="440"/>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减：所得税费用</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21,621,882.12</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14,456,569.16</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b/>
                <w:sz w:val="22"/>
                <w:szCs w:val="22"/>
              </w:rPr>
            </w:pPr>
            <w:r w:rsidRPr="006A4ECE">
              <w:rPr>
                <w:rFonts w:asciiTheme="minorEastAsia" w:eastAsiaTheme="minorEastAsia" w:hAnsiTheme="minorEastAsia" w:hint="eastAsia"/>
                <w:b/>
                <w:sz w:val="22"/>
                <w:szCs w:val="22"/>
              </w:rPr>
              <w:t>五、净利润（亏损以“-”号填列）</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64,737,472.47</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44,328,307.85</w:t>
            </w: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（一）持续经营净利润（净亏损以“-”号填列）</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64,737,472.47</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44,328,307.85</w:t>
            </w:r>
          </w:p>
        </w:tc>
      </w:tr>
      <w:tr w:rsidR="009E68BB" w:rsidRPr="006A4ECE" w:rsidTr="00063487">
        <w:trPr>
          <w:trHeight w:val="297"/>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（二）终止经营净利润（净亏损以“-”号填列）</w:t>
            </w:r>
          </w:p>
        </w:tc>
        <w:tc>
          <w:tcPr>
            <w:tcW w:w="2007"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b/>
                <w:sz w:val="22"/>
                <w:szCs w:val="22"/>
              </w:rPr>
            </w:pPr>
            <w:r w:rsidRPr="006A4ECE">
              <w:rPr>
                <w:rFonts w:asciiTheme="minorEastAsia" w:eastAsiaTheme="minorEastAsia" w:hAnsiTheme="minorEastAsia" w:hint="eastAsia"/>
                <w:b/>
                <w:sz w:val="22"/>
                <w:szCs w:val="22"/>
              </w:rPr>
              <w:t>六、其他综合收益的税后净额</w:t>
            </w:r>
          </w:p>
        </w:tc>
        <w:tc>
          <w:tcPr>
            <w:tcW w:w="2007"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480"/>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（一）以后不能重分类进损益的其他综合收益</w:t>
            </w:r>
          </w:p>
        </w:tc>
        <w:tc>
          <w:tcPr>
            <w:tcW w:w="2007"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052" w:type="dxa"/>
            <w:shd w:val="clear" w:color="auto" w:fill="auto"/>
            <w:vAlign w:val="center"/>
          </w:tcPr>
          <w:p w:rsidR="009E68BB" w:rsidRPr="006A4ECE" w:rsidRDefault="009E68BB" w:rsidP="00063487">
            <w:pPr>
              <w:ind w:right="220"/>
              <w:jc w:val="right"/>
              <w:rPr>
                <w:rFonts w:asciiTheme="minorEastAsia" w:eastAsiaTheme="minorEastAsia" w:hAnsiTheme="minorEastAsia" w:cs="宋体"/>
                <w:color w:val="000000"/>
                <w:sz w:val="22"/>
                <w:szCs w:val="22"/>
              </w:rPr>
            </w:pP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1. 重新计量设定受益计划变动额</w:t>
            </w:r>
          </w:p>
        </w:tc>
        <w:tc>
          <w:tcPr>
            <w:tcW w:w="2007"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lastRenderedPageBreak/>
              <w:t>2. 权益法下不能转损益的其他综合收益</w:t>
            </w:r>
          </w:p>
        </w:tc>
        <w:tc>
          <w:tcPr>
            <w:tcW w:w="2007"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（二）以后将重分类进损益的其他综合收益</w:t>
            </w:r>
          </w:p>
        </w:tc>
        <w:tc>
          <w:tcPr>
            <w:tcW w:w="2007"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1．权益法下在被投资单位以后将重分类进损益的其他综合收益中享有的份额</w:t>
            </w:r>
          </w:p>
        </w:tc>
        <w:tc>
          <w:tcPr>
            <w:tcW w:w="2007"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2.可供出售金融资产公允价值变动损益</w:t>
            </w:r>
          </w:p>
        </w:tc>
        <w:tc>
          <w:tcPr>
            <w:tcW w:w="2007"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3．持有至到期投资重分类为可供出售金融资产损益</w:t>
            </w:r>
          </w:p>
        </w:tc>
        <w:tc>
          <w:tcPr>
            <w:tcW w:w="2007"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4.现金流量套期损益的有效部分</w:t>
            </w:r>
          </w:p>
        </w:tc>
        <w:tc>
          <w:tcPr>
            <w:tcW w:w="2007"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5.外币财务报表折算差额</w:t>
            </w:r>
          </w:p>
        </w:tc>
        <w:tc>
          <w:tcPr>
            <w:tcW w:w="2007"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79"/>
          <w:jc w:val="center"/>
        </w:trPr>
        <w:tc>
          <w:tcPr>
            <w:tcW w:w="5104" w:type="dxa"/>
            <w:shd w:val="clear" w:color="auto" w:fill="auto"/>
            <w:vAlign w:val="center"/>
          </w:tcPr>
          <w:p w:rsidR="009E68BB" w:rsidRPr="006A4ECE" w:rsidRDefault="009E68BB" w:rsidP="00063487">
            <w:pPr>
              <w:rPr>
                <w:rFonts w:asciiTheme="minorEastAsia" w:eastAsiaTheme="minorEastAsia" w:hAnsiTheme="minorEastAsia" w:cs="宋体"/>
                <w:b/>
                <w:sz w:val="22"/>
                <w:szCs w:val="22"/>
              </w:rPr>
            </w:pPr>
            <w:r w:rsidRPr="006A4ECE">
              <w:rPr>
                <w:rFonts w:asciiTheme="minorEastAsia" w:eastAsiaTheme="minorEastAsia" w:hAnsiTheme="minorEastAsia" w:hint="eastAsia"/>
                <w:b/>
                <w:sz w:val="22"/>
                <w:szCs w:val="22"/>
              </w:rPr>
              <w:t>七、综合收益总额</w:t>
            </w:r>
          </w:p>
        </w:tc>
        <w:tc>
          <w:tcPr>
            <w:tcW w:w="2007"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64,737,472.47</w:t>
            </w:r>
          </w:p>
        </w:tc>
        <w:tc>
          <w:tcPr>
            <w:tcW w:w="2052"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44,328,307.85</w:t>
            </w:r>
          </w:p>
        </w:tc>
      </w:tr>
    </w:tbl>
    <w:p w:rsidR="009E68BB" w:rsidRPr="006A4ECE" w:rsidRDefault="009E68BB" w:rsidP="006A4ECE">
      <w:pPr>
        <w:autoSpaceDE w:val="0"/>
        <w:autoSpaceDN w:val="0"/>
        <w:adjustRightInd w:val="0"/>
        <w:snapToGrid w:val="0"/>
        <w:spacing w:line="560" w:lineRule="exact"/>
        <w:ind w:firstLineChars="200" w:firstLine="602"/>
        <w:rPr>
          <w:rFonts w:asciiTheme="minorEastAsia" w:eastAsiaTheme="minorEastAsia" w:hAnsiTheme="minorEastAsia" w:cs="Tahoma"/>
          <w:b/>
          <w:sz w:val="30"/>
          <w:szCs w:val="30"/>
        </w:rPr>
      </w:pPr>
      <w:r w:rsidRPr="006A4ECE">
        <w:rPr>
          <w:rFonts w:asciiTheme="minorEastAsia" w:eastAsiaTheme="minorEastAsia" w:hAnsiTheme="minorEastAsia" w:cs="Tahoma" w:hint="eastAsia"/>
          <w:b/>
          <w:sz w:val="30"/>
          <w:szCs w:val="30"/>
        </w:rPr>
        <w:t>3、现金流量表</w:t>
      </w:r>
    </w:p>
    <w:p w:rsidR="009E68BB" w:rsidRPr="006A4ECE" w:rsidRDefault="009E68BB" w:rsidP="009E68BB">
      <w:pPr>
        <w:pStyle w:val="a6"/>
        <w:spacing w:before="0" w:beforeAutospacing="0" w:after="0" w:afterAutospacing="0" w:line="560" w:lineRule="exact"/>
        <w:ind w:firstLineChars="200" w:firstLine="600"/>
        <w:rPr>
          <w:rFonts w:asciiTheme="minorEastAsia" w:eastAsiaTheme="minorEastAsia" w:hAnsiTheme="minorEastAsia" w:cs="Tahoma"/>
          <w:sz w:val="30"/>
          <w:szCs w:val="30"/>
        </w:rPr>
      </w:pPr>
      <w:r w:rsidRPr="006A4ECE">
        <w:rPr>
          <w:rFonts w:asciiTheme="minorEastAsia" w:eastAsiaTheme="minorEastAsia" w:hAnsiTheme="minorEastAsia" w:cs="Tahoma" w:hint="eastAsia"/>
          <w:sz w:val="30"/>
          <w:szCs w:val="30"/>
        </w:rPr>
        <w:t>编制单位：浙江诸暨联合村镇银行股份有限公司</w:t>
      </w:r>
    </w:p>
    <w:p w:rsidR="009E68BB" w:rsidRPr="006A4ECE" w:rsidRDefault="009E68BB" w:rsidP="009E68BB">
      <w:pPr>
        <w:pStyle w:val="a6"/>
        <w:spacing w:before="0" w:beforeAutospacing="0" w:after="0" w:afterAutospacing="0" w:line="560" w:lineRule="exact"/>
        <w:ind w:firstLineChars="200" w:firstLine="600"/>
        <w:rPr>
          <w:rFonts w:asciiTheme="minorEastAsia" w:eastAsiaTheme="minorEastAsia" w:hAnsiTheme="minorEastAsia" w:cs="Tahoma"/>
          <w:sz w:val="30"/>
          <w:szCs w:val="30"/>
          <w:highlight w:val="red"/>
        </w:rPr>
      </w:pPr>
      <w:r w:rsidRPr="006A4ECE">
        <w:rPr>
          <w:rFonts w:asciiTheme="minorEastAsia" w:eastAsiaTheme="minorEastAsia" w:hAnsiTheme="minorEastAsia" w:cs="Tahoma" w:hint="eastAsia"/>
          <w:sz w:val="30"/>
          <w:szCs w:val="30"/>
        </w:rPr>
        <w:t>编制月份：2021年12月  单位：人民币元</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2149"/>
        <w:gridCol w:w="2179"/>
      </w:tblGrid>
      <w:tr w:rsidR="009E68BB" w:rsidRPr="006A4ECE" w:rsidTr="00063487">
        <w:trPr>
          <w:trHeight w:val="402"/>
          <w:jc w:val="center"/>
        </w:trPr>
        <w:tc>
          <w:tcPr>
            <w:tcW w:w="4786" w:type="dxa"/>
            <w:shd w:val="clear" w:color="auto" w:fill="auto"/>
            <w:vAlign w:val="bottom"/>
          </w:tcPr>
          <w:p w:rsidR="009E68BB" w:rsidRPr="006A4ECE" w:rsidRDefault="009E68BB" w:rsidP="00063487">
            <w:pPr>
              <w:widowControl/>
              <w:jc w:val="center"/>
              <w:rPr>
                <w:rFonts w:asciiTheme="minorEastAsia" w:eastAsiaTheme="minorEastAsia" w:hAnsiTheme="minorEastAsia"/>
                <w:b/>
                <w:bCs/>
                <w:kern w:val="0"/>
                <w:sz w:val="24"/>
              </w:rPr>
            </w:pPr>
            <w:r w:rsidRPr="006A4ECE">
              <w:rPr>
                <w:rFonts w:asciiTheme="minorEastAsia" w:eastAsiaTheme="minorEastAsia" w:hAnsiTheme="minorEastAsia" w:hint="eastAsia"/>
                <w:b/>
                <w:bCs/>
                <w:kern w:val="0"/>
                <w:sz w:val="24"/>
              </w:rPr>
              <w:t>项  目</w:t>
            </w:r>
          </w:p>
        </w:tc>
        <w:tc>
          <w:tcPr>
            <w:tcW w:w="2149" w:type="dxa"/>
            <w:shd w:val="clear" w:color="auto" w:fill="auto"/>
            <w:vAlign w:val="bottom"/>
          </w:tcPr>
          <w:p w:rsidR="009E68BB" w:rsidRPr="006A4ECE" w:rsidRDefault="009E68BB" w:rsidP="00063487">
            <w:pPr>
              <w:widowControl/>
              <w:jc w:val="center"/>
              <w:rPr>
                <w:rFonts w:asciiTheme="minorEastAsia" w:eastAsiaTheme="minorEastAsia" w:hAnsiTheme="minorEastAsia" w:cs="宋体"/>
                <w:b/>
                <w:bCs/>
                <w:kern w:val="0"/>
                <w:sz w:val="24"/>
              </w:rPr>
            </w:pPr>
            <w:r w:rsidRPr="006A4ECE">
              <w:rPr>
                <w:rFonts w:asciiTheme="minorEastAsia" w:eastAsiaTheme="minorEastAsia" w:hAnsiTheme="minorEastAsia" w:cs="宋体" w:hint="eastAsia"/>
                <w:b/>
                <w:bCs/>
                <w:kern w:val="0"/>
                <w:sz w:val="24"/>
              </w:rPr>
              <w:t>本期数</w:t>
            </w:r>
          </w:p>
        </w:tc>
        <w:tc>
          <w:tcPr>
            <w:tcW w:w="2179" w:type="dxa"/>
            <w:shd w:val="clear" w:color="auto" w:fill="auto"/>
            <w:vAlign w:val="bottom"/>
          </w:tcPr>
          <w:p w:rsidR="009E68BB" w:rsidRPr="006A4ECE" w:rsidRDefault="009E68BB" w:rsidP="00063487">
            <w:pPr>
              <w:widowControl/>
              <w:jc w:val="center"/>
              <w:rPr>
                <w:rFonts w:asciiTheme="minorEastAsia" w:eastAsiaTheme="minorEastAsia" w:hAnsiTheme="minorEastAsia" w:cs="宋体"/>
                <w:b/>
                <w:bCs/>
                <w:kern w:val="0"/>
                <w:sz w:val="24"/>
              </w:rPr>
            </w:pPr>
            <w:r w:rsidRPr="006A4ECE">
              <w:rPr>
                <w:rFonts w:asciiTheme="minorEastAsia" w:eastAsiaTheme="minorEastAsia" w:hAnsiTheme="minorEastAsia" w:cs="宋体" w:hint="eastAsia"/>
                <w:b/>
                <w:bCs/>
                <w:kern w:val="0"/>
                <w:sz w:val="24"/>
              </w:rPr>
              <w:t>上年数</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b/>
                <w:sz w:val="22"/>
                <w:szCs w:val="22"/>
              </w:rPr>
            </w:pPr>
            <w:r w:rsidRPr="006A4ECE">
              <w:rPr>
                <w:rFonts w:asciiTheme="minorEastAsia" w:eastAsiaTheme="minorEastAsia" w:hAnsiTheme="minorEastAsia" w:hint="eastAsia"/>
                <w:b/>
                <w:sz w:val="22"/>
                <w:szCs w:val="22"/>
              </w:rPr>
              <w:t>一、经营活动产生的现金流量：</w:t>
            </w:r>
          </w:p>
        </w:tc>
        <w:tc>
          <w:tcPr>
            <w:tcW w:w="4328" w:type="dxa"/>
            <w:gridSpan w:val="2"/>
            <w:shd w:val="clear" w:color="auto" w:fill="auto"/>
            <w:vAlign w:val="center"/>
          </w:tcPr>
          <w:p w:rsidR="009E68BB" w:rsidRPr="006A4ECE" w:rsidRDefault="009E68BB" w:rsidP="00063487">
            <w:pPr>
              <w:rPr>
                <w:rFonts w:asciiTheme="minorEastAsia" w:eastAsiaTheme="minorEastAsia" w:hAnsiTheme="minorEastAsia"/>
                <w:sz w:val="22"/>
                <w:szCs w:val="22"/>
                <w:highlight w:val="red"/>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客户存款和同业存放款项净增加额</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150,930,718.88</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-8,055,257.70</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向中央银行借款净增加额</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-161,443,602.00</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661,998,163.00</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向其他金融机构拆入资金净增加额</w:t>
            </w:r>
          </w:p>
        </w:tc>
        <w:tc>
          <w:tcPr>
            <w:tcW w:w="4328" w:type="dxa"/>
            <w:gridSpan w:val="2"/>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highlight w:val="yellow"/>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收取利息、手续费及佣金的现金</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229,411,468.56</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208,756,357.65</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收到其他与经营活动有关的现金</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5,576,787.89</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8,601,348.34</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经营活动现金流入小计</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224,475,373.33</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871,300,611.29</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客户贷款及垫款净增加额</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217,674,086.34</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346,076,694.79</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存放中央银行和存放同业款项净增加额</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-85,818,945.39</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107,636,282.89</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向其他金融机构拆出资金净增加额</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c>
          <w:tcPr>
            <w:tcW w:w="2179" w:type="dxa"/>
            <w:shd w:val="clear" w:color="auto" w:fill="auto"/>
            <w:vAlign w:val="center"/>
          </w:tcPr>
          <w:p w:rsidR="009E68BB" w:rsidRPr="006A4ECE" w:rsidRDefault="009E68BB" w:rsidP="00063487">
            <w:pPr>
              <w:ind w:right="220"/>
              <w:jc w:val="right"/>
              <w:rPr>
                <w:rFonts w:asciiTheme="minorEastAsia" w:eastAsiaTheme="minorEastAsia" w:hAnsiTheme="minorEastAsia" w:cs="宋体"/>
                <w:color w:val="000000"/>
                <w:sz w:val="22"/>
                <w:szCs w:val="22"/>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支付利息、手续费及佣金的现金</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63,885,548.38</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68,126,646.76</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支付给职工以及为职工支付的现金</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42,385,194.54</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33,881,228.12</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支付的各项税费</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24,585,442.17</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12,808,244.75</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支付其他与经营活动有关的现金</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21,532,362.76</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15,495,101.43</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经营活动现金流出小计</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284,243,688.80</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584,024,198.74</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经营活动产生的现金流量净额</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-59,768,315.47</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287,276,412.55</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b/>
                <w:sz w:val="22"/>
                <w:szCs w:val="22"/>
              </w:rPr>
            </w:pPr>
            <w:r w:rsidRPr="006A4ECE">
              <w:rPr>
                <w:rFonts w:asciiTheme="minorEastAsia" w:eastAsiaTheme="minorEastAsia" w:hAnsiTheme="minorEastAsia" w:hint="eastAsia"/>
                <w:b/>
                <w:sz w:val="22"/>
                <w:szCs w:val="22"/>
              </w:rPr>
              <w:t>二、投资活动产生的现金流量：</w:t>
            </w:r>
          </w:p>
        </w:tc>
        <w:tc>
          <w:tcPr>
            <w:tcW w:w="4328" w:type="dxa"/>
            <w:gridSpan w:val="2"/>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highlight w:val="yellow"/>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收回投资收到的现金</w:t>
            </w:r>
          </w:p>
        </w:tc>
        <w:tc>
          <w:tcPr>
            <w:tcW w:w="2149"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highlight w:val="yellow"/>
              </w:rPr>
            </w:pP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highlight w:val="yellow"/>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取得投资收益收到的现金</w:t>
            </w:r>
          </w:p>
        </w:tc>
        <w:tc>
          <w:tcPr>
            <w:tcW w:w="2149"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highlight w:val="yellow"/>
              </w:rPr>
            </w:pP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highlight w:val="yellow"/>
              </w:rPr>
            </w:pPr>
          </w:p>
        </w:tc>
      </w:tr>
      <w:tr w:rsidR="009E68BB" w:rsidRPr="006A4ECE" w:rsidTr="00063487">
        <w:trPr>
          <w:trHeight w:val="361"/>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收到其他与投资活动有关的现金</w:t>
            </w:r>
          </w:p>
        </w:tc>
        <w:tc>
          <w:tcPr>
            <w:tcW w:w="2149"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highlight w:val="yellow"/>
              </w:rPr>
            </w:pP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highlight w:val="yellow"/>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投资活动现金流入小计</w:t>
            </w:r>
          </w:p>
        </w:tc>
        <w:tc>
          <w:tcPr>
            <w:tcW w:w="2149"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highlight w:val="yellow"/>
              </w:rPr>
            </w:pP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highlight w:val="yellow"/>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投资支付的现金</w:t>
            </w:r>
          </w:p>
        </w:tc>
        <w:tc>
          <w:tcPr>
            <w:tcW w:w="2149"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highlight w:val="yellow"/>
              </w:rPr>
            </w:pP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highlight w:val="yellow"/>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购建固定资产、无形资产和其他长期资产支付的现金</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19,556,069.93</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4,782,783.37</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支付其他与投资活动有关的现金</w:t>
            </w:r>
          </w:p>
        </w:tc>
        <w:tc>
          <w:tcPr>
            <w:tcW w:w="2149"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投资活动现金流出小计</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19,556,069.93</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4,782,783.37</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lastRenderedPageBreak/>
              <w:t>投资活动产生的现金流量净额</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-19,556,069.93</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-4,782,783.37</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b/>
                <w:sz w:val="22"/>
                <w:szCs w:val="22"/>
              </w:rPr>
            </w:pPr>
            <w:r w:rsidRPr="006A4ECE">
              <w:rPr>
                <w:rFonts w:asciiTheme="minorEastAsia" w:eastAsiaTheme="minorEastAsia" w:hAnsiTheme="minorEastAsia" w:hint="eastAsia"/>
                <w:b/>
                <w:sz w:val="22"/>
                <w:szCs w:val="22"/>
              </w:rPr>
              <w:t>三、筹资活动产生的现金流量：</w:t>
            </w:r>
          </w:p>
        </w:tc>
        <w:tc>
          <w:tcPr>
            <w:tcW w:w="4328" w:type="dxa"/>
            <w:gridSpan w:val="2"/>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吸收投资收到的现金</w:t>
            </w:r>
          </w:p>
        </w:tc>
        <w:tc>
          <w:tcPr>
            <w:tcW w:w="2149"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highlight w:val="yellow"/>
              </w:rPr>
            </w:pP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highlight w:val="yellow"/>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其中：子公司吸收少数股东投资收到的现金</w:t>
            </w:r>
          </w:p>
        </w:tc>
        <w:tc>
          <w:tcPr>
            <w:tcW w:w="2149"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highlight w:val="yellow"/>
              </w:rPr>
            </w:pP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highlight w:val="yellow"/>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发行债券收到的现金</w:t>
            </w:r>
          </w:p>
        </w:tc>
        <w:tc>
          <w:tcPr>
            <w:tcW w:w="2149"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highlight w:val="yellow"/>
              </w:rPr>
            </w:pP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highlight w:val="yellow"/>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收到其他与筹资活动有关的现金</w:t>
            </w:r>
          </w:p>
        </w:tc>
        <w:tc>
          <w:tcPr>
            <w:tcW w:w="2149"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highlight w:val="yellow"/>
              </w:rPr>
            </w:pP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highlight w:val="yellow"/>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筹资活动现金流入小计</w:t>
            </w:r>
          </w:p>
        </w:tc>
        <w:tc>
          <w:tcPr>
            <w:tcW w:w="2149"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highlight w:val="yellow"/>
              </w:rPr>
            </w:pP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highlight w:val="yellow"/>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偿还债务支付的现金</w:t>
            </w:r>
          </w:p>
        </w:tc>
        <w:tc>
          <w:tcPr>
            <w:tcW w:w="2149"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highlight w:val="yellow"/>
              </w:rPr>
            </w:pP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highlight w:val="yellow"/>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分配股利、利润或偿付利息支付的现金</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14,400,000.00</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16,800,000.00</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其中：子公司支付给少数股东的股利、利润</w:t>
            </w:r>
          </w:p>
        </w:tc>
        <w:tc>
          <w:tcPr>
            <w:tcW w:w="2149" w:type="dxa"/>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highlight w:val="yellow"/>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支付其他与筹资活动有关的现金</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4,746,678.76</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highlight w:val="yellow"/>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筹资活动现金流出小计</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19,146,678.76</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16,800,000.00</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筹资活动产生的现金流量净额</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-19,146,678.76</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-16,800,000.00</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b/>
                <w:sz w:val="22"/>
                <w:szCs w:val="22"/>
              </w:rPr>
            </w:pPr>
            <w:r w:rsidRPr="006A4ECE">
              <w:rPr>
                <w:rFonts w:asciiTheme="minorEastAsia" w:eastAsiaTheme="minorEastAsia" w:hAnsiTheme="minorEastAsia" w:hint="eastAsia"/>
                <w:b/>
                <w:sz w:val="22"/>
                <w:szCs w:val="22"/>
              </w:rPr>
              <w:t>四、汇率变动对现金及现金等价物的影响</w:t>
            </w:r>
          </w:p>
        </w:tc>
        <w:tc>
          <w:tcPr>
            <w:tcW w:w="4328" w:type="dxa"/>
            <w:gridSpan w:val="2"/>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五、现金及现金等价物净增加额</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-98,471,064.16</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265,693,629.18</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加：期初现金及现金等价物余额</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475,268,247.31</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209,574,618.13</w:t>
            </w:r>
          </w:p>
        </w:tc>
      </w:tr>
      <w:tr w:rsidR="009E68BB" w:rsidRPr="006A4ECE" w:rsidTr="00063487">
        <w:trPr>
          <w:trHeight w:val="315"/>
          <w:jc w:val="center"/>
        </w:trPr>
        <w:tc>
          <w:tcPr>
            <w:tcW w:w="4786" w:type="dxa"/>
            <w:shd w:val="clear" w:color="auto" w:fill="auto"/>
            <w:vAlign w:val="center"/>
          </w:tcPr>
          <w:p w:rsidR="009E68BB" w:rsidRPr="006A4ECE" w:rsidRDefault="009E68BB" w:rsidP="00063487">
            <w:pPr>
              <w:rPr>
                <w:rFonts w:asciiTheme="minorEastAsia" w:eastAsiaTheme="minorEastAsia" w:hAnsiTheme="minorEastAsia" w:cs="宋体"/>
                <w:sz w:val="22"/>
                <w:szCs w:val="22"/>
              </w:rPr>
            </w:pPr>
            <w:r w:rsidRPr="006A4ECE">
              <w:rPr>
                <w:rFonts w:asciiTheme="minorEastAsia" w:eastAsiaTheme="minorEastAsia" w:hAnsiTheme="minorEastAsia" w:hint="eastAsia"/>
                <w:sz w:val="22"/>
                <w:szCs w:val="22"/>
              </w:rPr>
              <w:t>六、期末现金及现金等价物余额</w:t>
            </w:r>
          </w:p>
        </w:tc>
        <w:tc>
          <w:tcPr>
            <w:tcW w:w="214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376,797,183.15</w:t>
            </w:r>
          </w:p>
        </w:tc>
        <w:tc>
          <w:tcPr>
            <w:tcW w:w="2179" w:type="dxa"/>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475,268,247.31</w:t>
            </w:r>
          </w:p>
        </w:tc>
      </w:tr>
    </w:tbl>
    <w:p w:rsidR="009E68BB" w:rsidRPr="006A4ECE" w:rsidRDefault="009E68BB" w:rsidP="006A4ECE">
      <w:pPr>
        <w:widowControl/>
        <w:spacing w:line="560" w:lineRule="exact"/>
        <w:ind w:firstLineChars="200" w:firstLine="602"/>
        <w:jc w:val="left"/>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4、所有者权益变动表</w:t>
      </w:r>
    </w:p>
    <w:p w:rsidR="009E68BB" w:rsidRPr="006A4ECE" w:rsidRDefault="009E68BB" w:rsidP="009E68BB">
      <w:pPr>
        <w:widowControl/>
        <w:spacing w:line="560" w:lineRule="exact"/>
        <w:ind w:firstLineChars="200" w:firstLine="600"/>
        <w:jc w:val="left"/>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编制单位：浙江诸暨联合村镇银行股份有限公司</w:t>
      </w:r>
    </w:p>
    <w:p w:rsidR="009E68BB" w:rsidRPr="006A4ECE" w:rsidRDefault="009E68BB" w:rsidP="009E68BB">
      <w:pPr>
        <w:widowControl/>
        <w:spacing w:line="560" w:lineRule="exact"/>
        <w:ind w:firstLineChars="200" w:firstLine="600"/>
        <w:jc w:val="left"/>
        <w:rPr>
          <w:rFonts w:asciiTheme="minorEastAsia" w:eastAsiaTheme="minorEastAsia" w:hAnsiTheme="minorEastAsia"/>
          <w:sz w:val="30"/>
          <w:szCs w:val="30"/>
          <w:highlight w:val="red"/>
        </w:rPr>
      </w:pPr>
      <w:r w:rsidRPr="006A4ECE">
        <w:rPr>
          <w:rFonts w:asciiTheme="minorEastAsia" w:eastAsiaTheme="minorEastAsia" w:hAnsiTheme="minorEastAsia" w:hint="eastAsia"/>
          <w:sz w:val="30"/>
          <w:szCs w:val="30"/>
        </w:rPr>
        <w:t>编制月份：2021年12月  单位：人民币元</w:t>
      </w:r>
    </w:p>
    <w:tbl>
      <w:tblPr>
        <w:tblW w:w="10603" w:type="dxa"/>
        <w:jc w:val="center"/>
        <w:tblInd w:w="-719"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tblPr>
      <w:tblGrid>
        <w:gridCol w:w="2369"/>
        <w:gridCol w:w="1660"/>
        <w:gridCol w:w="59"/>
        <w:gridCol w:w="1501"/>
        <w:gridCol w:w="1577"/>
        <w:gridCol w:w="1701"/>
        <w:gridCol w:w="1736"/>
      </w:tblGrid>
      <w:tr w:rsidR="009E68BB" w:rsidRPr="006A4ECE" w:rsidTr="00063487">
        <w:trPr>
          <w:trHeight w:val="348"/>
          <w:jc w:val="center"/>
        </w:trPr>
        <w:tc>
          <w:tcPr>
            <w:tcW w:w="2369" w:type="dxa"/>
            <w:vMerge w:val="restart"/>
            <w:tcBorders>
              <w:right w:val="single" w:sz="4" w:space="0" w:color="000000"/>
            </w:tcBorders>
            <w:shd w:val="clear" w:color="auto" w:fill="auto"/>
            <w:vAlign w:val="center"/>
          </w:tcPr>
          <w:p w:rsidR="009E68BB" w:rsidRPr="006A4ECE" w:rsidRDefault="009E68BB" w:rsidP="00063487">
            <w:pPr>
              <w:spacing w:line="280" w:lineRule="exact"/>
              <w:jc w:val="center"/>
              <w:rPr>
                <w:rFonts w:asciiTheme="minorEastAsia" w:eastAsiaTheme="minorEastAsia" w:hAnsiTheme="minorEastAsia"/>
                <w:b/>
                <w:sz w:val="22"/>
                <w:szCs w:val="22"/>
              </w:rPr>
            </w:pPr>
            <w:r w:rsidRPr="006A4ECE">
              <w:rPr>
                <w:rFonts w:asciiTheme="minorEastAsia" w:eastAsiaTheme="minorEastAsia" w:hAnsiTheme="minorEastAsia" w:hint="eastAsia"/>
                <w:b/>
                <w:sz w:val="24"/>
                <w:szCs w:val="22"/>
              </w:rPr>
              <w:t>项目</w:t>
            </w:r>
          </w:p>
        </w:tc>
        <w:tc>
          <w:tcPr>
            <w:tcW w:w="8234" w:type="dxa"/>
            <w:gridSpan w:val="6"/>
            <w:tcBorders>
              <w:left w:val="nil"/>
              <w:bottom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b/>
                <w:sz w:val="28"/>
                <w:szCs w:val="22"/>
              </w:rPr>
              <w:t>2021年度</w:t>
            </w:r>
          </w:p>
        </w:tc>
      </w:tr>
      <w:tr w:rsidR="009E68BB" w:rsidRPr="006A4ECE" w:rsidTr="00063487">
        <w:trPr>
          <w:trHeight w:val="348"/>
          <w:jc w:val="center"/>
        </w:trPr>
        <w:tc>
          <w:tcPr>
            <w:tcW w:w="2369" w:type="dxa"/>
            <w:vMerge/>
            <w:tcBorders>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b/>
                <w:sz w:val="22"/>
                <w:szCs w:val="22"/>
              </w:rPr>
            </w:pP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b/>
                <w:sz w:val="22"/>
                <w:szCs w:val="22"/>
              </w:rPr>
              <w:t>股本</w:t>
            </w: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b/>
                <w:sz w:val="22"/>
                <w:szCs w:val="22"/>
              </w:rPr>
              <w:t>盈余公积</w:t>
            </w: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b/>
                <w:sz w:val="22"/>
                <w:szCs w:val="22"/>
              </w:rPr>
              <w:t>一般风险准备</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b/>
                <w:sz w:val="22"/>
                <w:szCs w:val="22"/>
              </w:rPr>
              <w:t>未分配利润</w:t>
            </w: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b/>
                <w:sz w:val="22"/>
                <w:szCs w:val="22"/>
              </w:rPr>
            </w:pPr>
            <w:r w:rsidRPr="006A4ECE">
              <w:rPr>
                <w:rFonts w:asciiTheme="minorEastAsia" w:eastAsiaTheme="minorEastAsia" w:hAnsiTheme="minorEastAsia" w:hint="eastAsia"/>
                <w:b/>
                <w:sz w:val="22"/>
                <w:szCs w:val="22"/>
              </w:rPr>
              <w:t>所有者权益</w:t>
            </w:r>
          </w:p>
          <w:p w:rsidR="009E68BB" w:rsidRPr="006A4ECE" w:rsidRDefault="009E68BB" w:rsidP="00063487">
            <w:pPr>
              <w:jc w:val="center"/>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b/>
                <w:sz w:val="22"/>
                <w:szCs w:val="22"/>
              </w:rPr>
              <w:t>合计</w:t>
            </w:r>
          </w:p>
        </w:tc>
      </w:tr>
      <w:tr w:rsidR="009E68BB" w:rsidRPr="006A4ECE" w:rsidTr="00063487">
        <w:trPr>
          <w:trHeight w:val="348"/>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b/>
                <w:sz w:val="22"/>
                <w:szCs w:val="22"/>
              </w:rPr>
            </w:pPr>
            <w:r w:rsidRPr="006A4ECE">
              <w:rPr>
                <w:rFonts w:asciiTheme="minorEastAsia" w:eastAsiaTheme="minorEastAsia" w:hAnsiTheme="minorEastAsia" w:hint="eastAsia"/>
                <w:b/>
                <w:sz w:val="22"/>
                <w:szCs w:val="22"/>
              </w:rPr>
              <w:t>一、上期期末余额</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olor w:val="000000"/>
                <w:sz w:val="22"/>
                <w:szCs w:val="22"/>
              </w:rPr>
            </w:pPr>
            <w:r w:rsidRPr="006A4ECE">
              <w:rPr>
                <w:rFonts w:asciiTheme="minorEastAsia" w:eastAsiaTheme="minorEastAsia" w:hAnsiTheme="minorEastAsia" w:hint="eastAsia"/>
                <w:color w:val="000000"/>
                <w:sz w:val="22"/>
                <w:szCs w:val="22"/>
              </w:rPr>
              <w:t>200,000,000.00</w:t>
            </w: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olor w:val="000000"/>
                <w:sz w:val="22"/>
                <w:szCs w:val="22"/>
              </w:rPr>
            </w:pPr>
            <w:r w:rsidRPr="006A4ECE">
              <w:rPr>
                <w:rFonts w:asciiTheme="minorEastAsia" w:eastAsiaTheme="minorEastAsia" w:hAnsiTheme="minorEastAsia" w:hint="eastAsia"/>
                <w:color w:val="000000"/>
                <w:sz w:val="22"/>
                <w:szCs w:val="22"/>
              </w:rPr>
              <w:t>14,680,217.15</w:t>
            </w: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olor w:val="000000"/>
                <w:sz w:val="22"/>
                <w:szCs w:val="22"/>
              </w:rPr>
            </w:pPr>
            <w:r w:rsidRPr="006A4ECE">
              <w:rPr>
                <w:rFonts w:asciiTheme="minorEastAsia" w:eastAsiaTheme="minorEastAsia" w:hAnsiTheme="minorEastAsia" w:hint="eastAsia"/>
                <w:color w:val="000000"/>
                <w:sz w:val="22"/>
                <w:szCs w:val="22"/>
              </w:rPr>
              <w:t>38,634,344.33</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olor w:val="000000"/>
                <w:sz w:val="22"/>
                <w:szCs w:val="22"/>
              </w:rPr>
            </w:pPr>
            <w:r w:rsidRPr="006A4ECE">
              <w:rPr>
                <w:rFonts w:asciiTheme="minorEastAsia" w:eastAsiaTheme="minorEastAsia" w:hAnsiTheme="minorEastAsia" w:hint="eastAsia"/>
                <w:color w:val="000000"/>
                <w:sz w:val="22"/>
                <w:szCs w:val="22"/>
              </w:rPr>
              <w:t>109,782,166.8</w:t>
            </w: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olor w:val="000000"/>
                <w:sz w:val="22"/>
                <w:szCs w:val="22"/>
              </w:rPr>
            </w:pPr>
            <w:r w:rsidRPr="006A4ECE">
              <w:rPr>
                <w:rFonts w:asciiTheme="minorEastAsia" w:eastAsiaTheme="minorEastAsia" w:hAnsiTheme="minorEastAsia" w:hint="eastAsia"/>
                <w:color w:val="000000"/>
                <w:sz w:val="22"/>
                <w:szCs w:val="22"/>
              </w:rPr>
              <w:t>363,096,728.32</w:t>
            </w:r>
          </w:p>
        </w:tc>
      </w:tr>
      <w:tr w:rsidR="009E68BB" w:rsidRPr="006A4ECE" w:rsidTr="00063487">
        <w:trPr>
          <w:trHeight w:val="410"/>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加：会计政策变更及其他</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r>
      <w:tr w:rsidR="009E68BB" w:rsidRPr="006A4ECE" w:rsidTr="00063487">
        <w:trPr>
          <w:trHeight w:val="274"/>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前期差错更正</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r>
      <w:tr w:rsidR="009E68BB" w:rsidRPr="006A4ECE" w:rsidTr="00063487">
        <w:trPr>
          <w:trHeight w:val="424"/>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b/>
                <w:sz w:val="22"/>
                <w:szCs w:val="22"/>
              </w:rPr>
            </w:pPr>
            <w:r w:rsidRPr="006A4ECE">
              <w:rPr>
                <w:rFonts w:asciiTheme="minorEastAsia" w:eastAsiaTheme="minorEastAsia" w:hAnsiTheme="minorEastAsia" w:hint="eastAsia"/>
                <w:b/>
                <w:sz w:val="22"/>
                <w:szCs w:val="22"/>
              </w:rPr>
              <w:t>二、本期期初余额</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200,000,000.00</w:t>
            </w: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14,680,217.15</w:t>
            </w: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38,634,344.33</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109,782,166.84</w:t>
            </w: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363,096,728.32</w:t>
            </w:r>
          </w:p>
        </w:tc>
      </w:tr>
      <w:tr w:rsidR="009E68BB" w:rsidRPr="006A4ECE" w:rsidTr="00063487">
        <w:trPr>
          <w:trHeight w:val="480"/>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b/>
                <w:sz w:val="22"/>
                <w:szCs w:val="22"/>
              </w:rPr>
            </w:pPr>
            <w:r w:rsidRPr="006A4ECE">
              <w:rPr>
                <w:rFonts w:asciiTheme="minorEastAsia" w:eastAsiaTheme="minorEastAsia" w:hAnsiTheme="minorEastAsia" w:hint="eastAsia"/>
                <w:b/>
                <w:sz w:val="22"/>
                <w:szCs w:val="22"/>
              </w:rPr>
              <w:t>三、本期增减变动金额（减少以“-”号填列）</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4,432,830.79</w:t>
            </w: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9,632,659.33</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23,304,641.68</w:t>
            </w: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37,370,131.80</w:t>
            </w:r>
          </w:p>
        </w:tc>
      </w:tr>
      <w:tr w:rsidR="009E68BB" w:rsidRPr="006A4ECE" w:rsidTr="00063487">
        <w:trPr>
          <w:trHeight w:val="294"/>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（一）综合收益总额</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64,737,472.47</w:t>
            </w: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64,737,472.47</w:t>
            </w:r>
          </w:p>
        </w:tc>
      </w:tr>
      <w:tr w:rsidR="009E68BB" w:rsidRPr="006A4ECE" w:rsidTr="00063487">
        <w:trPr>
          <w:trHeight w:val="480"/>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（二）所有者投入和减少资本</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 xml:space="preserve">     </w:t>
            </w:r>
          </w:p>
        </w:tc>
        <w:tc>
          <w:tcPr>
            <w:tcW w:w="1736" w:type="dxa"/>
            <w:tcBorders>
              <w:top w:val="nil"/>
              <w:left w:val="nil"/>
              <w:bottom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r>
      <w:tr w:rsidR="009E68BB" w:rsidRPr="006A4ECE" w:rsidTr="00063487">
        <w:trPr>
          <w:trHeight w:val="356"/>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1.所有者投入资本</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480"/>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ind w:firstLineChars="50" w:firstLine="110"/>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2.股份支付计入所有者权益的金额</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23"/>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3.其他</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77" w:type="dxa"/>
            <w:tcBorders>
              <w:top w:val="nil"/>
              <w:left w:val="nil"/>
              <w:bottom w:val="single" w:sz="4" w:space="0" w:color="000000"/>
              <w:right w:val="single" w:sz="4" w:space="0" w:color="000000"/>
            </w:tcBorders>
            <w:shd w:val="clear" w:color="000000" w:fill="FFFFFF"/>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419"/>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(三)利润分配</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4,432,830.7</w:t>
            </w:r>
            <w:r w:rsidRPr="006A4ECE">
              <w:rPr>
                <w:rFonts w:asciiTheme="minorEastAsia" w:eastAsiaTheme="minorEastAsia" w:hAnsiTheme="minorEastAsia" w:hint="eastAsia"/>
                <w:color w:val="000000"/>
                <w:sz w:val="22"/>
                <w:szCs w:val="22"/>
              </w:rPr>
              <w:lastRenderedPageBreak/>
              <w:t>9</w:t>
            </w: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lastRenderedPageBreak/>
              <w:t>21,000,000.0</w:t>
            </w:r>
            <w:r w:rsidRPr="006A4ECE">
              <w:rPr>
                <w:rFonts w:asciiTheme="minorEastAsia" w:eastAsiaTheme="minorEastAsia" w:hAnsiTheme="minorEastAsia" w:hint="eastAsia"/>
                <w:color w:val="000000"/>
                <w:sz w:val="22"/>
                <w:szCs w:val="22"/>
              </w:rPr>
              <w:lastRenderedPageBreak/>
              <w:t>0</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lastRenderedPageBreak/>
              <w:t>-41,432,830.7</w:t>
            </w:r>
            <w:r w:rsidRPr="006A4ECE">
              <w:rPr>
                <w:rFonts w:asciiTheme="minorEastAsia" w:eastAsiaTheme="minorEastAsia" w:hAnsiTheme="minorEastAsia" w:hint="eastAsia"/>
                <w:color w:val="000000"/>
                <w:sz w:val="22"/>
                <w:szCs w:val="22"/>
              </w:rPr>
              <w:lastRenderedPageBreak/>
              <w:t>9</w:t>
            </w: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lastRenderedPageBreak/>
              <w:t>-16,000,000.0</w:t>
            </w:r>
            <w:r w:rsidRPr="006A4ECE">
              <w:rPr>
                <w:rFonts w:asciiTheme="minorEastAsia" w:eastAsiaTheme="minorEastAsia" w:hAnsiTheme="minorEastAsia" w:hint="eastAsia"/>
                <w:color w:val="000000"/>
                <w:sz w:val="22"/>
                <w:szCs w:val="22"/>
              </w:rPr>
              <w:lastRenderedPageBreak/>
              <w:t>0</w:t>
            </w:r>
          </w:p>
        </w:tc>
      </w:tr>
      <w:tr w:rsidR="009E68BB" w:rsidRPr="006A4ECE" w:rsidTr="00063487">
        <w:trPr>
          <w:trHeight w:val="277"/>
          <w:jc w:val="center"/>
        </w:trPr>
        <w:tc>
          <w:tcPr>
            <w:tcW w:w="2369" w:type="dxa"/>
            <w:tcBorders>
              <w:top w:val="nil"/>
              <w:bottom w:val="single" w:sz="4" w:space="0" w:color="auto"/>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lastRenderedPageBreak/>
              <w:t xml:space="preserve"> 1.提取盈余公积</w:t>
            </w:r>
          </w:p>
        </w:tc>
        <w:tc>
          <w:tcPr>
            <w:tcW w:w="1719" w:type="dxa"/>
            <w:gridSpan w:val="2"/>
            <w:tcBorders>
              <w:top w:val="nil"/>
              <w:left w:val="nil"/>
              <w:bottom w:val="single" w:sz="4" w:space="0" w:color="auto"/>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nil"/>
              <w:left w:val="nil"/>
              <w:bottom w:val="single" w:sz="4" w:space="0" w:color="auto"/>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4,432,830.79</w:t>
            </w:r>
          </w:p>
        </w:tc>
        <w:tc>
          <w:tcPr>
            <w:tcW w:w="1577" w:type="dxa"/>
            <w:tcBorders>
              <w:top w:val="nil"/>
              <w:left w:val="nil"/>
              <w:bottom w:val="single" w:sz="4" w:space="0" w:color="auto"/>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w:t>
            </w:r>
          </w:p>
        </w:tc>
        <w:tc>
          <w:tcPr>
            <w:tcW w:w="1701" w:type="dxa"/>
            <w:tcBorders>
              <w:top w:val="nil"/>
              <w:left w:val="nil"/>
              <w:bottom w:val="single" w:sz="4" w:space="0" w:color="auto"/>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-4,432,830.79</w:t>
            </w:r>
          </w:p>
        </w:tc>
        <w:tc>
          <w:tcPr>
            <w:tcW w:w="1736" w:type="dxa"/>
            <w:tcBorders>
              <w:top w:val="nil"/>
              <w:left w:val="nil"/>
              <w:bottom w:val="single" w:sz="4" w:space="0" w:color="auto"/>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0.00</w:t>
            </w:r>
          </w:p>
        </w:tc>
      </w:tr>
      <w:tr w:rsidR="009E68BB" w:rsidRPr="006A4ECE" w:rsidTr="00063487">
        <w:trPr>
          <w:trHeight w:val="277"/>
          <w:jc w:val="center"/>
        </w:trPr>
        <w:tc>
          <w:tcPr>
            <w:tcW w:w="2369" w:type="dxa"/>
            <w:tcBorders>
              <w:top w:val="single" w:sz="4" w:space="0" w:color="auto"/>
              <w:bottom w:val="single" w:sz="4" w:space="0" w:color="auto"/>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2.提取一般风险准备</w:t>
            </w:r>
          </w:p>
        </w:tc>
        <w:tc>
          <w:tcPr>
            <w:tcW w:w="1719" w:type="dxa"/>
            <w:gridSpan w:val="2"/>
            <w:tcBorders>
              <w:top w:val="single" w:sz="4" w:space="0" w:color="auto"/>
              <w:left w:val="nil"/>
              <w:bottom w:val="single" w:sz="4" w:space="0" w:color="auto"/>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single" w:sz="4" w:space="0" w:color="auto"/>
              <w:left w:val="nil"/>
              <w:bottom w:val="single" w:sz="4" w:space="0" w:color="auto"/>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77" w:type="dxa"/>
            <w:tcBorders>
              <w:top w:val="single" w:sz="4" w:space="0" w:color="auto"/>
              <w:left w:val="nil"/>
              <w:bottom w:val="single" w:sz="4" w:space="0" w:color="auto"/>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21,000,000.00</w:t>
            </w:r>
          </w:p>
        </w:tc>
        <w:tc>
          <w:tcPr>
            <w:tcW w:w="1701" w:type="dxa"/>
            <w:tcBorders>
              <w:top w:val="single" w:sz="4" w:space="0" w:color="auto"/>
              <w:left w:val="nil"/>
              <w:bottom w:val="single" w:sz="4" w:space="0" w:color="auto"/>
              <w:right w:val="nil"/>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-21,000,000.00</w:t>
            </w:r>
          </w:p>
        </w:tc>
        <w:tc>
          <w:tcPr>
            <w:tcW w:w="1736" w:type="dxa"/>
            <w:tcBorders>
              <w:top w:val="single" w:sz="4" w:space="0" w:color="auto"/>
              <w:left w:val="single" w:sz="4" w:space="0" w:color="000000"/>
              <w:bottom w:val="single" w:sz="4" w:space="0" w:color="auto"/>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0.00</w:t>
            </w:r>
          </w:p>
        </w:tc>
      </w:tr>
      <w:tr w:rsidR="009E68BB" w:rsidRPr="006A4ECE" w:rsidTr="00063487">
        <w:trPr>
          <w:trHeight w:val="480"/>
          <w:jc w:val="center"/>
        </w:trPr>
        <w:tc>
          <w:tcPr>
            <w:tcW w:w="2369" w:type="dxa"/>
            <w:tcBorders>
              <w:top w:val="single" w:sz="4" w:space="0" w:color="auto"/>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3.对所有者(或股东)的分配</w:t>
            </w:r>
          </w:p>
        </w:tc>
        <w:tc>
          <w:tcPr>
            <w:tcW w:w="1719" w:type="dxa"/>
            <w:gridSpan w:val="2"/>
            <w:tcBorders>
              <w:top w:val="single" w:sz="4" w:space="0" w:color="auto"/>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single" w:sz="4" w:space="0" w:color="auto"/>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77" w:type="dxa"/>
            <w:tcBorders>
              <w:top w:val="single" w:sz="4" w:space="0" w:color="auto"/>
              <w:left w:val="nil"/>
              <w:bottom w:val="single" w:sz="4" w:space="0" w:color="000000"/>
              <w:right w:val="nil"/>
            </w:tcBorders>
            <w:shd w:val="clear" w:color="auto" w:fill="auto"/>
            <w:vAlign w:val="center"/>
          </w:tcPr>
          <w:p w:rsidR="009E68BB" w:rsidRPr="006A4ECE" w:rsidRDefault="009E68BB" w:rsidP="00063487">
            <w:pPr>
              <w:jc w:val="center"/>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-16,000,000.00</w:t>
            </w:r>
          </w:p>
        </w:tc>
        <w:tc>
          <w:tcPr>
            <w:tcW w:w="1736" w:type="dxa"/>
            <w:tcBorders>
              <w:top w:val="single" w:sz="4" w:space="0" w:color="auto"/>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-16,000,000.00</w:t>
            </w:r>
          </w:p>
        </w:tc>
      </w:tr>
      <w:tr w:rsidR="009E68BB" w:rsidRPr="006A4ECE" w:rsidTr="00063487">
        <w:trPr>
          <w:trHeight w:val="480"/>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(四)所有者权益内部结转</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480"/>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1.资本公积转增资本(股本) </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480"/>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2.盈余公积转增资本(股本) </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260"/>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3.盈余公积弥补亏损</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24"/>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4.其他</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p>
        </w:tc>
      </w:tr>
      <w:tr w:rsidR="009E68BB" w:rsidRPr="006A4ECE" w:rsidTr="00063487">
        <w:trPr>
          <w:trHeight w:val="318"/>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（五）其他</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w:t>
            </w: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-11,367,340.67</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rPr>
                <w:rFonts w:asciiTheme="minorEastAsia" w:eastAsiaTheme="minorEastAsia" w:hAnsiTheme="minorEastAsia" w:cs="宋体"/>
                <w:color w:val="000000"/>
                <w:sz w:val="22"/>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-11,367,340.67</w:t>
            </w:r>
          </w:p>
        </w:tc>
      </w:tr>
      <w:tr w:rsidR="009E68BB" w:rsidRPr="006A4ECE" w:rsidTr="00063487">
        <w:trPr>
          <w:trHeight w:val="409"/>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b/>
                <w:sz w:val="22"/>
                <w:szCs w:val="22"/>
              </w:rPr>
            </w:pPr>
            <w:r w:rsidRPr="006A4ECE">
              <w:rPr>
                <w:rFonts w:asciiTheme="minorEastAsia" w:eastAsiaTheme="minorEastAsia" w:hAnsiTheme="minorEastAsia" w:hint="eastAsia"/>
                <w:b/>
                <w:sz w:val="22"/>
                <w:szCs w:val="22"/>
              </w:rPr>
              <w:t>四、本期期末余额</w:t>
            </w:r>
          </w:p>
        </w:tc>
        <w:tc>
          <w:tcPr>
            <w:tcW w:w="1719"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200,000,000.00</w:t>
            </w: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19,113,047.94</w:t>
            </w: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48,267,003.66</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133,086,808.52</w:t>
            </w: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color w:val="000000"/>
                <w:sz w:val="22"/>
                <w:szCs w:val="22"/>
              </w:rPr>
            </w:pPr>
            <w:r w:rsidRPr="006A4ECE">
              <w:rPr>
                <w:rFonts w:asciiTheme="minorEastAsia" w:eastAsiaTheme="minorEastAsia" w:hAnsiTheme="minorEastAsia" w:hint="eastAsia"/>
                <w:color w:val="000000"/>
                <w:sz w:val="22"/>
                <w:szCs w:val="22"/>
              </w:rPr>
              <w:t>400,466,860.12</w:t>
            </w:r>
          </w:p>
        </w:tc>
      </w:tr>
      <w:tr w:rsidR="009E68BB" w:rsidRPr="006A4ECE" w:rsidTr="00063487">
        <w:trPr>
          <w:trHeight w:val="409"/>
          <w:jc w:val="center"/>
        </w:trPr>
        <w:tc>
          <w:tcPr>
            <w:tcW w:w="2369" w:type="dxa"/>
            <w:vMerge w:val="restart"/>
            <w:tcBorders>
              <w:top w:val="nil"/>
              <w:right w:val="single" w:sz="4" w:space="0" w:color="000000"/>
            </w:tcBorders>
            <w:shd w:val="clear" w:color="auto" w:fill="auto"/>
            <w:vAlign w:val="center"/>
          </w:tcPr>
          <w:p w:rsidR="009E68BB" w:rsidRPr="006A4ECE" w:rsidRDefault="009E68BB" w:rsidP="00063487">
            <w:pPr>
              <w:spacing w:line="280" w:lineRule="exact"/>
              <w:jc w:val="center"/>
              <w:rPr>
                <w:rFonts w:asciiTheme="minorEastAsia" w:eastAsiaTheme="minorEastAsia" w:hAnsiTheme="minorEastAsia"/>
                <w:b/>
                <w:sz w:val="22"/>
                <w:szCs w:val="22"/>
              </w:rPr>
            </w:pPr>
            <w:r w:rsidRPr="006A4ECE">
              <w:rPr>
                <w:rFonts w:asciiTheme="minorEastAsia" w:eastAsiaTheme="minorEastAsia" w:hAnsiTheme="minorEastAsia" w:hint="eastAsia"/>
                <w:b/>
                <w:sz w:val="24"/>
                <w:szCs w:val="22"/>
              </w:rPr>
              <w:t>项目</w:t>
            </w:r>
          </w:p>
        </w:tc>
        <w:tc>
          <w:tcPr>
            <w:tcW w:w="8234" w:type="dxa"/>
            <w:gridSpan w:val="6"/>
            <w:tcBorders>
              <w:top w:val="nil"/>
              <w:left w:val="nil"/>
              <w:bottom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olor w:val="000000"/>
                <w:sz w:val="22"/>
                <w:szCs w:val="22"/>
              </w:rPr>
            </w:pPr>
            <w:r w:rsidRPr="006A4ECE">
              <w:rPr>
                <w:rFonts w:asciiTheme="minorEastAsia" w:eastAsiaTheme="minorEastAsia" w:hAnsiTheme="minorEastAsia" w:hint="eastAsia"/>
                <w:b/>
                <w:sz w:val="28"/>
                <w:szCs w:val="22"/>
              </w:rPr>
              <w:t>2020年度</w:t>
            </w:r>
          </w:p>
        </w:tc>
      </w:tr>
      <w:tr w:rsidR="009E68BB" w:rsidRPr="006A4ECE" w:rsidTr="00063487">
        <w:trPr>
          <w:trHeight w:val="409"/>
          <w:jc w:val="center"/>
        </w:trPr>
        <w:tc>
          <w:tcPr>
            <w:tcW w:w="2369" w:type="dxa"/>
            <w:vMerge/>
            <w:tcBorders>
              <w:bottom w:val="single" w:sz="4" w:space="0" w:color="auto"/>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b/>
                <w:sz w:val="22"/>
                <w:szCs w:val="22"/>
              </w:rPr>
            </w:pPr>
          </w:p>
        </w:tc>
        <w:tc>
          <w:tcPr>
            <w:tcW w:w="1719" w:type="dxa"/>
            <w:gridSpan w:val="2"/>
            <w:tcBorders>
              <w:top w:val="nil"/>
              <w:left w:val="nil"/>
              <w:bottom w:val="single" w:sz="4" w:space="0" w:color="auto"/>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olor w:val="000000"/>
                <w:sz w:val="22"/>
                <w:szCs w:val="22"/>
              </w:rPr>
            </w:pPr>
            <w:r w:rsidRPr="006A4ECE">
              <w:rPr>
                <w:rFonts w:asciiTheme="minorEastAsia" w:eastAsiaTheme="minorEastAsia" w:hAnsiTheme="minorEastAsia" w:hint="eastAsia"/>
                <w:b/>
                <w:sz w:val="22"/>
                <w:szCs w:val="22"/>
              </w:rPr>
              <w:t>股本</w:t>
            </w:r>
          </w:p>
        </w:tc>
        <w:tc>
          <w:tcPr>
            <w:tcW w:w="15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olor w:val="000000"/>
                <w:sz w:val="22"/>
                <w:szCs w:val="22"/>
              </w:rPr>
            </w:pPr>
            <w:r w:rsidRPr="006A4ECE">
              <w:rPr>
                <w:rFonts w:asciiTheme="minorEastAsia" w:eastAsiaTheme="minorEastAsia" w:hAnsiTheme="minorEastAsia" w:hint="eastAsia"/>
                <w:b/>
                <w:sz w:val="22"/>
                <w:szCs w:val="22"/>
              </w:rPr>
              <w:t>盈余公积</w:t>
            </w: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olor w:val="000000"/>
                <w:sz w:val="22"/>
                <w:szCs w:val="22"/>
              </w:rPr>
            </w:pPr>
            <w:r w:rsidRPr="006A4ECE">
              <w:rPr>
                <w:rFonts w:asciiTheme="minorEastAsia" w:eastAsiaTheme="minorEastAsia" w:hAnsiTheme="minorEastAsia" w:hint="eastAsia"/>
                <w:b/>
                <w:sz w:val="22"/>
                <w:szCs w:val="22"/>
              </w:rPr>
              <w:t>一般风险准备</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olor w:val="000000"/>
                <w:sz w:val="22"/>
                <w:szCs w:val="22"/>
              </w:rPr>
            </w:pPr>
            <w:r w:rsidRPr="006A4ECE">
              <w:rPr>
                <w:rFonts w:asciiTheme="minorEastAsia" w:eastAsiaTheme="minorEastAsia" w:hAnsiTheme="minorEastAsia" w:hint="eastAsia"/>
                <w:b/>
                <w:sz w:val="22"/>
                <w:szCs w:val="22"/>
              </w:rPr>
              <w:t>未分配利润</w:t>
            </w: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b/>
                <w:sz w:val="22"/>
                <w:szCs w:val="22"/>
              </w:rPr>
            </w:pPr>
            <w:r w:rsidRPr="006A4ECE">
              <w:rPr>
                <w:rFonts w:asciiTheme="minorEastAsia" w:eastAsiaTheme="minorEastAsia" w:hAnsiTheme="minorEastAsia" w:hint="eastAsia"/>
                <w:b/>
                <w:sz w:val="22"/>
                <w:szCs w:val="22"/>
              </w:rPr>
              <w:t>所有者权益</w:t>
            </w:r>
          </w:p>
          <w:p w:rsidR="009E68BB" w:rsidRPr="006A4ECE" w:rsidRDefault="009E68BB" w:rsidP="00063487">
            <w:pPr>
              <w:jc w:val="center"/>
              <w:rPr>
                <w:rFonts w:asciiTheme="minorEastAsia" w:eastAsiaTheme="minorEastAsia" w:hAnsiTheme="minorEastAsia"/>
                <w:color w:val="000000"/>
                <w:sz w:val="22"/>
                <w:szCs w:val="22"/>
              </w:rPr>
            </w:pPr>
            <w:r w:rsidRPr="006A4ECE">
              <w:rPr>
                <w:rFonts w:asciiTheme="minorEastAsia" w:eastAsiaTheme="minorEastAsia" w:hAnsiTheme="minorEastAsia" w:hint="eastAsia"/>
                <w:b/>
                <w:sz w:val="22"/>
                <w:szCs w:val="22"/>
              </w:rPr>
              <w:t>合计</w:t>
            </w:r>
          </w:p>
        </w:tc>
      </w:tr>
      <w:tr w:rsidR="009E68BB" w:rsidRPr="006A4ECE" w:rsidTr="00063487">
        <w:trPr>
          <w:trHeight w:val="317"/>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b/>
                <w:sz w:val="22"/>
                <w:szCs w:val="22"/>
              </w:rPr>
            </w:pPr>
            <w:r w:rsidRPr="006A4ECE">
              <w:rPr>
                <w:rFonts w:asciiTheme="minorEastAsia" w:eastAsiaTheme="minorEastAsia" w:hAnsiTheme="minorEastAsia" w:hint="eastAsia"/>
                <w:b/>
                <w:sz w:val="22"/>
                <w:szCs w:val="22"/>
              </w:rPr>
              <w:t>一、上期期末余额</w:t>
            </w:r>
          </w:p>
        </w:tc>
        <w:tc>
          <w:tcPr>
            <w:tcW w:w="1660"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Cs w:val="22"/>
              </w:rPr>
            </w:pPr>
            <w:r w:rsidRPr="006A4ECE">
              <w:rPr>
                <w:rFonts w:asciiTheme="minorEastAsia" w:eastAsiaTheme="minorEastAsia" w:hAnsiTheme="minorEastAsia"/>
                <w:szCs w:val="22"/>
              </w:rPr>
              <w:t>200,000,000.00</w:t>
            </w:r>
          </w:p>
        </w:tc>
        <w:tc>
          <w:tcPr>
            <w:tcW w:w="1560"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14,680,217.15</w:t>
            </w: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33,634,344.33</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96,453,858.99</w:t>
            </w: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344,768,420.47</w:t>
            </w:r>
          </w:p>
        </w:tc>
      </w:tr>
      <w:tr w:rsidR="009E68BB" w:rsidRPr="006A4ECE" w:rsidTr="00063487">
        <w:trPr>
          <w:trHeight w:val="406"/>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加：会计政策变更及其他</w:t>
            </w:r>
          </w:p>
        </w:tc>
        <w:tc>
          <w:tcPr>
            <w:tcW w:w="1660"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20"/>
                <w:szCs w:val="22"/>
              </w:rPr>
            </w:pPr>
          </w:p>
        </w:tc>
        <w:tc>
          <w:tcPr>
            <w:tcW w:w="1560"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r>
      <w:tr w:rsidR="009E68BB" w:rsidRPr="006A4ECE" w:rsidTr="00063487">
        <w:trPr>
          <w:trHeight w:val="412"/>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前期差错更正</w:t>
            </w:r>
          </w:p>
        </w:tc>
        <w:tc>
          <w:tcPr>
            <w:tcW w:w="1660"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20"/>
                <w:szCs w:val="22"/>
              </w:rPr>
            </w:pPr>
          </w:p>
        </w:tc>
        <w:tc>
          <w:tcPr>
            <w:tcW w:w="1560"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r>
      <w:tr w:rsidR="009E68BB" w:rsidRPr="006A4ECE" w:rsidTr="00063487">
        <w:trPr>
          <w:trHeight w:val="277"/>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b/>
                <w:sz w:val="22"/>
                <w:szCs w:val="22"/>
              </w:rPr>
            </w:pPr>
            <w:r w:rsidRPr="006A4ECE">
              <w:rPr>
                <w:rFonts w:asciiTheme="minorEastAsia" w:eastAsiaTheme="minorEastAsia" w:hAnsiTheme="minorEastAsia" w:hint="eastAsia"/>
                <w:b/>
                <w:sz w:val="22"/>
                <w:szCs w:val="22"/>
              </w:rPr>
              <w:t>二、本期期初余额</w:t>
            </w:r>
          </w:p>
        </w:tc>
        <w:tc>
          <w:tcPr>
            <w:tcW w:w="1660"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sz w:val="20"/>
                <w:szCs w:val="22"/>
              </w:rPr>
            </w:pPr>
            <w:r w:rsidRPr="006A4ECE">
              <w:rPr>
                <w:rFonts w:asciiTheme="minorEastAsia" w:eastAsiaTheme="minorEastAsia" w:hAnsiTheme="minorEastAsia"/>
                <w:sz w:val="20"/>
                <w:szCs w:val="22"/>
              </w:rPr>
              <w:t>200,000,000.00</w:t>
            </w:r>
          </w:p>
        </w:tc>
        <w:tc>
          <w:tcPr>
            <w:tcW w:w="1560"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14,680,217.15</w:t>
            </w: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33,634,344.33</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96,453,858.99</w:t>
            </w: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344,768,420.47</w:t>
            </w:r>
          </w:p>
        </w:tc>
      </w:tr>
      <w:tr w:rsidR="009E68BB" w:rsidRPr="006A4ECE" w:rsidTr="00063487">
        <w:trPr>
          <w:trHeight w:val="495"/>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b/>
                <w:sz w:val="22"/>
                <w:szCs w:val="22"/>
              </w:rPr>
            </w:pPr>
            <w:r w:rsidRPr="006A4ECE">
              <w:rPr>
                <w:rFonts w:asciiTheme="minorEastAsia" w:eastAsiaTheme="minorEastAsia" w:hAnsiTheme="minorEastAsia" w:hint="eastAsia"/>
                <w:b/>
                <w:sz w:val="22"/>
                <w:szCs w:val="22"/>
              </w:rPr>
              <w:t>三、本期增减变动金额（减少以“-”号填列）</w:t>
            </w:r>
          </w:p>
        </w:tc>
        <w:tc>
          <w:tcPr>
            <w:tcW w:w="1660"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60"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sz w:val="24"/>
              </w:rPr>
            </w:pPr>
            <w:r w:rsidRPr="006A4ECE">
              <w:rPr>
                <w:rFonts w:asciiTheme="minorEastAsia" w:eastAsiaTheme="minorEastAsia" w:hAnsiTheme="minorEastAsia" w:hint="eastAsia"/>
              </w:rPr>
              <w:t xml:space="preserve">        5,000,000.00 </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sz w:val="24"/>
              </w:rPr>
            </w:pPr>
            <w:r w:rsidRPr="006A4ECE">
              <w:rPr>
                <w:rFonts w:asciiTheme="minorEastAsia" w:eastAsiaTheme="minorEastAsia" w:hAnsiTheme="minorEastAsia" w:hint="eastAsia"/>
              </w:rPr>
              <w:t xml:space="preserve">     13,328,307.85 </w:t>
            </w: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sz w:val="24"/>
              </w:rPr>
            </w:pPr>
            <w:r w:rsidRPr="006A4ECE">
              <w:rPr>
                <w:rFonts w:asciiTheme="minorEastAsia" w:eastAsiaTheme="minorEastAsia" w:hAnsiTheme="minorEastAsia" w:hint="eastAsia"/>
              </w:rPr>
              <w:t xml:space="preserve">     18,328,307.85 </w:t>
            </w:r>
          </w:p>
        </w:tc>
      </w:tr>
      <w:tr w:rsidR="009E68BB" w:rsidRPr="006A4ECE" w:rsidTr="00063487">
        <w:trPr>
          <w:trHeight w:val="304"/>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（一）综合收益总额</w:t>
            </w:r>
          </w:p>
        </w:tc>
        <w:tc>
          <w:tcPr>
            <w:tcW w:w="1660"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60"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sz w:val="24"/>
              </w:rPr>
            </w:pPr>
            <w:r w:rsidRPr="006A4ECE">
              <w:rPr>
                <w:rFonts w:asciiTheme="minorEastAsia" w:eastAsiaTheme="minorEastAsia" w:hAnsiTheme="minorEastAsia" w:hint="eastAsia"/>
              </w:rPr>
              <w:t xml:space="preserve">     44,328,307.85 </w:t>
            </w: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sz w:val="24"/>
              </w:rPr>
            </w:pPr>
            <w:r w:rsidRPr="006A4ECE">
              <w:rPr>
                <w:rFonts w:asciiTheme="minorEastAsia" w:eastAsiaTheme="minorEastAsia" w:hAnsiTheme="minorEastAsia" w:hint="eastAsia"/>
              </w:rPr>
              <w:t xml:space="preserve">     44,328,307.85 </w:t>
            </w:r>
          </w:p>
        </w:tc>
      </w:tr>
      <w:tr w:rsidR="009E68BB" w:rsidRPr="006A4ECE" w:rsidTr="00063487">
        <w:trPr>
          <w:trHeight w:val="495"/>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（二）所有者投入和减少资本</w:t>
            </w:r>
          </w:p>
        </w:tc>
        <w:tc>
          <w:tcPr>
            <w:tcW w:w="1660"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60"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rPr>
            </w:pPr>
            <w:r w:rsidRPr="006A4ECE">
              <w:rPr>
                <w:rFonts w:asciiTheme="minorEastAsia" w:eastAsiaTheme="minorEastAsia" w:hAnsiTheme="minorEastAsia" w:hint="eastAsia"/>
              </w:rPr>
              <w:t xml:space="preserve">     </w:t>
            </w:r>
          </w:p>
          <w:p w:rsidR="009E68BB" w:rsidRPr="006A4ECE" w:rsidRDefault="009E68BB" w:rsidP="00063487">
            <w:pPr>
              <w:jc w:val="right"/>
              <w:rPr>
                <w:rFonts w:asciiTheme="minorEastAsia" w:eastAsiaTheme="minorEastAsia" w:hAnsiTheme="minorEastAsia" w:cs="宋体"/>
                <w:sz w:val="24"/>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cs="宋体"/>
                <w:sz w:val="24"/>
              </w:rPr>
            </w:pPr>
            <w:r w:rsidRPr="006A4ECE">
              <w:rPr>
                <w:rFonts w:asciiTheme="minorEastAsia" w:eastAsiaTheme="minorEastAsia" w:hAnsiTheme="minorEastAsia" w:hint="eastAsia"/>
              </w:rPr>
              <w:t xml:space="preserve">      </w:t>
            </w:r>
          </w:p>
        </w:tc>
      </w:tr>
      <w:tr w:rsidR="009E68BB" w:rsidRPr="006A4ECE" w:rsidTr="00063487">
        <w:trPr>
          <w:trHeight w:val="360"/>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1.所有者投入资本</w:t>
            </w:r>
          </w:p>
        </w:tc>
        <w:tc>
          <w:tcPr>
            <w:tcW w:w="1660"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60"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r>
      <w:tr w:rsidR="009E68BB" w:rsidRPr="006A4ECE" w:rsidTr="00063487">
        <w:trPr>
          <w:trHeight w:val="495"/>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2.股份支付计入所有者权益的金额</w:t>
            </w:r>
          </w:p>
        </w:tc>
        <w:tc>
          <w:tcPr>
            <w:tcW w:w="1660"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60"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r>
      <w:tr w:rsidR="009E68BB" w:rsidRPr="006A4ECE" w:rsidTr="00063487">
        <w:trPr>
          <w:trHeight w:val="346"/>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3.其他</w:t>
            </w:r>
          </w:p>
        </w:tc>
        <w:tc>
          <w:tcPr>
            <w:tcW w:w="1660"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60"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r>
      <w:tr w:rsidR="009E68BB" w:rsidRPr="006A4ECE" w:rsidTr="00063487">
        <w:trPr>
          <w:trHeight w:val="314"/>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(三)利润分配</w:t>
            </w:r>
          </w:p>
        </w:tc>
        <w:tc>
          <w:tcPr>
            <w:tcW w:w="1660"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60"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15,000,000.00</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-31,000,000.00</w:t>
            </w: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-16,000,000.00</w:t>
            </w:r>
          </w:p>
        </w:tc>
      </w:tr>
      <w:tr w:rsidR="009E68BB" w:rsidRPr="006A4ECE" w:rsidTr="00063487">
        <w:trPr>
          <w:trHeight w:val="356"/>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1.提取盈余公积</w:t>
            </w:r>
          </w:p>
        </w:tc>
        <w:tc>
          <w:tcPr>
            <w:tcW w:w="1660"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60"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w:t>
            </w: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w:t>
            </w:r>
          </w:p>
        </w:tc>
      </w:tr>
      <w:tr w:rsidR="009E68BB" w:rsidRPr="006A4ECE" w:rsidTr="00063487">
        <w:trPr>
          <w:trHeight w:val="277"/>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lastRenderedPageBreak/>
              <w:t xml:space="preserve"> 2.提取一般风险准备</w:t>
            </w:r>
          </w:p>
        </w:tc>
        <w:tc>
          <w:tcPr>
            <w:tcW w:w="1660"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60"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15,000,000.00</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-15,000,000.00</w:t>
            </w: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w:t>
            </w:r>
          </w:p>
        </w:tc>
      </w:tr>
      <w:tr w:rsidR="009E68BB" w:rsidRPr="006A4ECE" w:rsidTr="00063487">
        <w:trPr>
          <w:trHeight w:val="495"/>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3.对所有者(或股东)的分配</w:t>
            </w:r>
          </w:p>
        </w:tc>
        <w:tc>
          <w:tcPr>
            <w:tcW w:w="1660"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60"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w:t>
            </w: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-16,000,000.00</w:t>
            </w: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-16,000,000.00</w:t>
            </w:r>
          </w:p>
        </w:tc>
      </w:tr>
      <w:tr w:rsidR="009E68BB" w:rsidRPr="006A4ECE" w:rsidTr="00063487">
        <w:trPr>
          <w:trHeight w:val="495"/>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(四)所有者权益内部结转</w:t>
            </w:r>
          </w:p>
        </w:tc>
        <w:tc>
          <w:tcPr>
            <w:tcW w:w="1660"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60"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r>
      <w:tr w:rsidR="009E68BB" w:rsidRPr="006A4ECE" w:rsidTr="00063487">
        <w:trPr>
          <w:trHeight w:val="495"/>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1.资本公积转增资本(股本) </w:t>
            </w:r>
          </w:p>
        </w:tc>
        <w:tc>
          <w:tcPr>
            <w:tcW w:w="1660"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60"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r>
      <w:tr w:rsidR="009E68BB" w:rsidRPr="006A4ECE" w:rsidTr="00063487">
        <w:trPr>
          <w:trHeight w:val="495"/>
          <w:jc w:val="center"/>
        </w:trPr>
        <w:tc>
          <w:tcPr>
            <w:tcW w:w="2369" w:type="dxa"/>
            <w:tcBorders>
              <w:top w:val="nil"/>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2.盈余公积转增资本(股本) </w:t>
            </w:r>
          </w:p>
        </w:tc>
        <w:tc>
          <w:tcPr>
            <w:tcW w:w="1660"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60" w:type="dxa"/>
            <w:gridSpan w:val="2"/>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77"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01" w:type="dxa"/>
            <w:tcBorders>
              <w:top w:val="nil"/>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36" w:type="dxa"/>
            <w:tcBorders>
              <w:top w:val="nil"/>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r>
      <w:tr w:rsidR="009E68BB" w:rsidRPr="006A4ECE" w:rsidTr="00063487">
        <w:trPr>
          <w:trHeight w:val="296"/>
          <w:jc w:val="center"/>
        </w:trPr>
        <w:tc>
          <w:tcPr>
            <w:tcW w:w="2369" w:type="dxa"/>
            <w:tcBorders>
              <w:top w:val="nil"/>
              <w:bottom w:val="single" w:sz="4" w:space="0" w:color="auto"/>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3.盈余公积弥补亏损</w:t>
            </w:r>
          </w:p>
        </w:tc>
        <w:tc>
          <w:tcPr>
            <w:tcW w:w="1660" w:type="dxa"/>
            <w:tcBorders>
              <w:top w:val="nil"/>
              <w:left w:val="nil"/>
              <w:bottom w:val="single" w:sz="4" w:space="0" w:color="auto"/>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60" w:type="dxa"/>
            <w:gridSpan w:val="2"/>
            <w:tcBorders>
              <w:top w:val="nil"/>
              <w:left w:val="nil"/>
              <w:bottom w:val="single" w:sz="4" w:space="0" w:color="auto"/>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77" w:type="dxa"/>
            <w:tcBorders>
              <w:top w:val="nil"/>
              <w:left w:val="nil"/>
              <w:bottom w:val="single" w:sz="4" w:space="0" w:color="auto"/>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01" w:type="dxa"/>
            <w:tcBorders>
              <w:top w:val="nil"/>
              <w:left w:val="nil"/>
              <w:bottom w:val="single" w:sz="4" w:space="0" w:color="auto"/>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36" w:type="dxa"/>
            <w:tcBorders>
              <w:top w:val="nil"/>
              <w:left w:val="nil"/>
              <w:bottom w:val="single" w:sz="4" w:space="0" w:color="auto"/>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r>
      <w:tr w:rsidR="009E68BB" w:rsidRPr="006A4ECE" w:rsidTr="00063487">
        <w:trPr>
          <w:trHeight w:val="257"/>
          <w:jc w:val="center"/>
        </w:trPr>
        <w:tc>
          <w:tcPr>
            <w:tcW w:w="2369" w:type="dxa"/>
            <w:tcBorders>
              <w:top w:val="single" w:sz="4" w:space="0" w:color="auto"/>
              <w:bottom w:val="single" w:sz="4" w:space="0" w:color="000000"/>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 xml:space="preserve"> 4.其他</w:t>
            </w:r>
          </w:p>
        </w:tc>
        <w:tc>
          <w:tcPr>
            <w:tcW w:w="1660" w:type="dxa"/>
            <w:tcBorders>
              <w:top w:val="single" w:sz="4" w:space="0" w:color="auto"/>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60" w:type="dxa"/>
            <w:gridSpan w:val="2"/>
            <w:tcBorders>
              <w:top w:val="single" w:sz="4" w:space="0" w:color="auto"/>
              <w:left w:val="nil"/>
              <w:bottom w:val="single" w:sz="4" w:space="0" w:color="000000"/>
              <w:right w:val="single" w:sz="4" w:space="0" w:color="000000"/>
            </w:tcBorders>
            <w:shd w:val="clear" w:color="auto" w:fill="auto"/>
            <w:vAlign w:val="bottom"/>
          </w:tcPr>
          <w:p w:rsidR="009E68BB" w:rsidRPr="006A4ECE" w:rsidRDefault="009E68BB" w:rsidP="00063487">
            <w:pPr>
              <w:jc w:val="right"/>
              <w:rPr>
                <w:rFonts w:asciiTheme="minorEastAsia" w:eastAsiaTheme="minorEastAsia" w:hAnsiTheme="minorEastAsia"/>
                <w:sz w:val="18"/>
                <w:szCs w:val="22"/>
              </w:rPr>
            </w:pPr>
          </w:p>
        </w:tc>
        <w:tc>
          <w:tcPr>
            <w:tcW w:w="1577" w:type="dxa"/>
            <w:tcBorders>
              <w:top w:val="single" w:sz="4" w:space="0" w:color="auto"/>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01" w:type="dxa"/>
            <w:tcBorders>
              <w:top w:val="single" w:sz="4" w:space="0" w:color="auto"/>
              <w:left w:val="nil"/>
              <w:bottom w:val="single" w:sz="4" w:space="0" w:color="000000"/>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736" w:type="dxa"/>
            <w:tcBorders>
              <w:top w:val="single" w:sz="4" w:space="0" w:color="auto"/>
              <w:left w:val="nil"/>
              <w:bottom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r>
      <w:tr w:rsidR="009E68BB" w:rsidRPr="006A4ECE" w:rsidTr="00063487">
        <w:trPr>
          <w:trHeight w:val="346"/>
          <w:jc w:val="center"/>
        </w:trPr>
        <w:tc>
          <w:tcPr>
            <w:tcW w:w="2369" w:type="dxa"/>
            <w:tcBorders>
              <w:top w:val="nil"/>
              <w:bottom w:val="single" w:sz="4" w:space="0" w:color="auto"/>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（五）其他</w:t>
            </w:r>
          </w:p>
        </w:tc>
        <w:tc>
          <w:tcPr>
            <w:tcW w:w="1660" w:type="dxa"/>
            <w:tcBorders>
              <w:top w:val="nil"/>
              <w:left w:val="nil"/>
              <w:bottom w:val="single" w:sz="4" w:space="0" w:color="auto"/>
              <w:right w:val="single" w:sz="4" w:space="0" w:color="000000"/>
            </w:tcBorders>
            <w:shd w:val="clear" w:color="auto" w:fill="auto"/>
            <w:vAlign w:val="center"/>
          </w:tcPr>
          <w:p w:rsidR="009E68BB" w:rsidRPr="006A4ECE" w:rsidRDefault="009E68BB" w:rsidP="00063487">
            <w:pPr>
              <w:jc w:val="right"/>
              <w:rPr>
                <w:rFonts w:asciiTheme="minorEastAsia" w:eastAsiaTheme="minorEastAsia" w:hAnsiTheme="minorEastAsia"/>
                <w:sz w:val="18"/>
                <w:szCs w:val="22"/>
              </w:rPr>
            </w:pPr>
          </w:p>
        </w:tc>
        <w:tc>
          <w:tcPr>
            <w:tcW w:w="1560" w:type="dxa"/>
            <w:gridSpan w:val="2"/>
            <w:tcBorders>
              <w:top w:val="nil"/>
              <w:left w:val="nil"/>
              <w:bottom w:val="single" w:sz="4" w:space="0" w:color="auto"/>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w:t>
            </w:r>
          </w:p>
        </w:tc>
        <w:tc>
          <w:tcPr>
            <w:tcW w:w="1577" w:type="dxa"/>
            <w:tcBorders>
              <w:top w:val="nil"/>
              <w:left w:val="nil"/>
              <w:bottom w:val="single" w:sz="4" w:space="0" w:color="auto"/>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-10,000,000.00</w:t>
            </w:r>
          </w:p>
        </w:tc>
        <w:tc>
          <w:tcPr>
            <w:tcW w:w="1701" w:type="dxa"/>
            <w:tcBorders>
              <w:top w:val="nil"/>
              <w:left w:val="nil"/>
              <w:bottom w:val="single" w:sz="4" w:space="0" w:color="auto"/>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p>
        </w:tc>
        <w:tc>
          <w:tcPr>
            <w:tcW w:w="1736" w:type="dxa"/>
            <w:tcBorders>
              <w:top w:val="nil"/>
              <w:left w:val="nil"/>
              <w:bottom w:val="single" w:sz="4" w:space="0" w:color="auto"/>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-10,000,000.00</w:t>
            </w:r>
          </w:p>
        </w:tc>
      </w:tr>
      <w:tr w:rsidR="009E68BB" w:rsidRPr="006A4ECE" w:rsidTr="00063487">
        <w:trPr>
          <w:trHeight w:val="495"/>
          <w:jc w:val="center"/>
        </w:trPr>
        <w:tc>
          <w:tcPr>
            <w:tcW w:w="2369" w:type="dxa"/>
            <w:tcBorders>
              <w:top w:val="single" w:sz="4" w:space="0" w:color="auto"/>
              <w:right w:val="single" w:sz="4" w:space="0" w:color="000000"/>
            </w:tcBorders>
            <w:shd w:val="clear" w:color="auto" w:fill="auto"/>
            <w:vAlign w:val="center"/>
          </w:tcPr>
          <w:p w:rsidR="009E68BB" w:rsidRPr="006A4ECE" w:rsidRDefault="009E68BB" w:rsidP="00063487">
            <w:pPr>
              <w:spacing w:line="280" w:lineRule="exact"/>
              <w:rPr>
                <w:rFonts w:asciiTheme="minorEastAsia" w:eastAsiaTheme="minorEastAsia" w:hAnsiTheme="minorEastAsia"/>
                <w:sz w:val="22"/>
                <w:szCs w:val="22"/>
              </w:rPr>
            </w:pPr>
            <w:r w:rsidRPr="006A4ECE">
              <w:rPr>
                <w:rFonts w:asciiTheme="minorEastAsia" w:eastAsiaTheme="minorEastAsia" w:hAnsiTheme="minorEastAsia" w:hint="eastAsia"/>
                <w:sz w:val="22"/>
                <w:szCs w:val="22"/>
              </w:rPr>
              <w:t>四、本期期末余额</w:t>
            </w:r>
          </w:p>
        </w:tc>
        <w:tc>
          <w:tcPr>
            <w:tcW w:w="1660" w:type="dxa"/>
            <w:tcBorders>
              <w:top w:val="single" w:sz="4" w:space="0" w:color="auto"/>
              <w:left w:val="nil"/>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rPr>
            </w:pPr>
            <w:r w:rsidRPr="006A4ECE">
              <w:rPr>
                <w:rFonts w:asciiTheme="minorEastAsia" w:eastAsiaTheme="minorEastAsia" w:hAnsiTheme="minorEastAsia"/>
              </w:rPr>
              <w:t>200,000,000.00</w:t>
            </w:r>
          </w:p>
        </w:tc>
        <w:tc>
          <w:tcPr>
            <w:tcW w:w="1560" w:type="dxa"/>
            <w:gridSpan w:val="2"/>
            <w:tcBorders>
              <w:top w:val="single" w:sz="4" w:space="0" w:color="auto"/>
              <w:left w:val="nil"/>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14,680,217.15</w:t>
            </w:r>
          </w:p>
        </w:tc>
        <w:tc>
          <w:tcPr>
            <w:tcW w:w="1577" w:type="dxa"/>
            <w:tcBorders>
              <w:top w:val="single" w:sz="4" w:space="0" w:color="auto"/>
              <w:left w:val="nil"/>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38,634,344.33</w:t>
            </w:r>
          </w:p>
        </w:tc>
        <w:tc>
          <w:tcPr>
            <w:tcW w:w="1701" w:type="dxa"/>
            <w:tcBorders>
              <w:top w:val="single" w:sz="4" w:space="0" w:color="auto"/>
              <w:left w:val="nil"/>
              <w:right w:val="single" w:sz="4" w:space="0" w:color="000000"/>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109,782,166.84</w:t>
            </w:r>
          </w:p>
        </w:tc>
        <w:tc>
          <w:tcPr>
            <w:tcW w:w="1736" w:type="dxa"/>
            <w:tcBorders>
              <w:top w:val="single" w:sz="4" w:space="0" w:color="auto"/>
              <w:left w:val="nil"/>
            </w:tcBorders>
            <w:shd w:val="clear" w:color="auto" w:fill="auto"/>
            <w:vAlign w:val="center"/>
          </w:tcPr>
          <w:p w:rsidR="009E68BB" w:rsidRPr="006A4ECE" w:rsidRDefault="009E68BB" w:rsidP="00063487">
            <w:pPr>
              <w:jc w:val="center"/>
              <w:rPr>
                <w:rFonts w:asciiTheme="minorEastAsia" w:eastAsiaTheme="minorEastAsia" w:hAnsiTheme="minorEastAsia" w:cs="宋体"/>
                <w:sz w:val="24"/>
              </w:rPr>
            </w:pPr>
            <w:r w:rsidRPr="006A4ECE">
              <w:rPr>
                <w:rFonts w:asciiTheme="minorEastAsia" w:eastAsiaTheme="minorEastAsia" w:hAnsiTheme="minorEastAsia" w:hint="eastAsia"/>
              </w:rPr>
              <w:t>363,096,728.32</w:t>
            </w:r>
          </w:p>
        </w:tc>
      </w:tr>
    </w:tbl>
    <w:p w:rsidR="009E68BB" w:rsidRPr="006A4ECE" w:rsidRDefault="009E68BB" w:rsidP="006A4ECE">
      <w:pPr>
        <w:widowControl/>
        <w:spacing w:line="560" w:lineRule="exact"/>
        <w:ind w:firstLineChars="200" w:firstLine="602"/>
        <w:jc w:val="left"/>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（二）股东及关联交易情况</w:t>
      </w:r>
    </w:p>
    <w:p w:rsidR="009E68BB" w:rsidRPr="006A4ECE" w:rsidRDefault="009E68BB" w:rsidP="006A4ECE">
      <w:pPr>
        <w:widowControl/>
        <w:spacing w:line="560" w:lineRule="exact"/>
        <w:ind w:firstLineChars="200" w:firstLine="602"/>
        <w:jc w:val="left"/>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1、本行股东持股情况</w:t>
      </w:r>
    </w:p>
    <w:p w:rsidR="009E68BB" w:rsidRPr="006A4ECE" w:rsidRDefault="009E68BB" w:rsidP="009E68BB">
      <w:pPr>
        <w:widowControl/>
        <w:spacing w:line="560" w:lineRule="exact"/>
        <w:ind w:firstLineChars="200" w:firstLine="600"/>
        <w:jc w:val="left"/>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编制单位：浙江诸暨联合村镇银行股份有限公司</w:t>
      </w:r>
    </w:p>
    <w:p w:rsidR="009E68BB" w:rsidRPr="006A4ECE" w:rsidRDefault="009E68BB" w:rsidP="009E68BB">
      <w:pPr>
        <w:widowControl/>
        <w:spacing w:line="560" w:lineRule="exact"/>
        <w:ind w:firstLineChars="200" w:firstLine="600"/>
        <w:jc w:val="left"/>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编制月份：2021年12月  单位：人民币元</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4011"/>
        <w:gridCol w:w="1772"/>
        <w:gridCol w:w="1655"/>
        <w:gridCol w:w="1284"/>
      </w:tblGrid>
      <w:tr w:rsidR="009E68BB" w:rsidRPr="006A4ECE" w:rsidTr="00063487">
        <w:trPr>
          <w:cantSplit/>
          <w:trHeight w:val="547"/>
          <w:jc w:val="center"/>
        </w:trPr>
        <w:tc>
          <w:tcPr>
            <w:tcW w:w="4011" w:type="dxa"/>
            <w:tcMar>
              <w:top w:w="15" w:type="dxa"/>
              <w:left w:w="15" w:type="dxa"/>
              <w:bottom w:w="0" w:type="dxa"/>
              <w:right w:w="15" w:type="dxa"/>
            </w:tcMar>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股东名称</w:t>
            </w:r>
          </w:p>
        </w:tc>
        <w:tc>
          <w:tcPr>
            <w:tcW w:w="1772" w:type="dxa"/>
            <w:vAlign w:val="center"/>
          </w:tcPr>
          <w:p w:rsidR="009E68BB" w:rsidRPr="006A4ECE" w:rsidRDefault="009E68BB" w:rsidP="00063487">
            <w:pPr>
              <w:widowControl/>
              <w:ind w:rightChars="50" w:right="105"/>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期末数</w:t>
            </w:r>
          </w:p>
        </w:tc>
        <w:tc>
          <w:tcPr>
            <w:tcW w:w="1655" w:type="dxa"/>
            <w:vAlign w:val="center"/>
          </w:tcPr>
          <w:p w:rsidR="009E68BB" w:rsidRPr="006A4ECE" w:rsidRDefault="009E68BB" w:rsidP="00063487">
            <w:pPr>
              <w:widowControl/>
              <w:ind w:rightChars="50" w:right="105"/>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期初数</w:t>
            </w:r>
          </w:p>
        </w:tc>
        <w:tc>
          <w:tcPr>
            <w:tcW w:w="1284" w:type="dxa"/>
            <w:vAlign w:val="center"/>
          </w:tcPr>
          <w:p w:rsidR="009E68BB" w:rsidRPr="006A4ECE" w:rsidRDefault="009E68BB" w:rsidP="00063487">
            <w:pPr>
              <w:widowControl/>
              <w:ind w:rightChars="11" w:right="23"/>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持股比例%</w:t>
            </w:r>
          </w:p>
        </w:tc>
      </w:tr>
      <w:tr w:rsidR="009E68BB" w:rsidRPr="006A4ECE" w:rsidTr="00063487">
        <w:trPr>
          <w:cantSplit/>
          <w:trHeight w:val="450"/>
          <w:jc w:val="center"/>
        </w:trPr>
        <w:tc>
          <w:tcPr>
            <w:tcW w:w="4011" w:type="dxa"/>
            <w:tcMar>
              <w:top w:w="15" w:type="dxa"/>
              <w:left w:w="15" w:type="dxa"/>
              <w:bottom w:w="0" w:type="dxa"/>
              <w:right w:w="15" w:type="dxa"/>
            </w:tcMar>
            <w:vAlign w:val="bottom"/>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杭州联合农村商业银行股份有限公司</w:t>
            </w:r>
          </w:p>
        </w:tc>
        <w:tc>
          <w:tcPr>
            <w:tcW w:w="1772"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80,000,000.00</w:t>
            </w:r>
          </w:p>
        </w:tc>
        <w:tc>
          <w:tcPr>
            <w:tcW w:w="1655"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80,000,000.00</w:t>
            </w:r>
          </w:p>
        </w:tc>
        <w:tc>
          <w:tcPr>
            <w:tcW w:w="1284"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40.00</w:t>
            </w:r>
          </w:p>
        </w:tc>
      </w:tr>
      <w:tr w:rsidR="009E68BB" w:rsidRPr="006A4ECE" w:rsidTr="00063487">
        <w:trPr>
          <w:cantSplit/>
          <w:trHeight w:val="450"/>
          <w:jc w:val="center"/>
        </w:trPr>
        <w:tc>
          <w:tcPr>
            <w:tcW w:w="4011" w:type="dxa"/>
            <w:tcMar>
              <w:top w:w="15" w:type="dxa"/>
              <w:left w:w="15" w:type="dxa"/>
              <w:bottom w:w="0" w:type="dxa"/>
              <w:right w:w="15" w:type="dxa"/>
            </w:tcMar>
            <w:vAlign w:val="bottom"/>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丹吉娅集团有限公司</w:t>
            </w:r>
          </w:p>
        </w:tc>
        <w:tc>
          <w:tcPr>
            <w:tcW w:w="1772"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20,000,000.00</w:t>
            </w:r>
          </w:p>
        </w:tc>
        <w:tc>
          <w:tcPr>
            <w:tcW w:w="1655"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20,000,000.00</w:t>
            </w:r>
          </w:p>
        </w:tc>
        <w:tc>
          <w:tcPr>
            <w:tcW w:w="1284"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10.00</w:t>
            </w:r>
          </w:p>
        </w:tc>
      </w:tr>
      <w:tr w:rsidR="009E68BB" w:rsidRPr="006A4ECE" w:rsidTr="00063487">
        <w:trPr>
          <w:cantSplit/>
          <w:trHeight w:val="514"/>
          <w:jc w:val="center"/>
        </w:trPr>
        <w:tc>
          <w:tcPr>
            <w:tcW w:w="4011" w:type="dxa"/>
            <w:tcMar>
              <w:top w:w="15" w:type="dxa"/>
              <w:left w:w="15" w:type="dxa"/>
              <w:bottom w:w="0" w:type="dxa"/>
              <w:right w:w="15" w:type="dxa"/>
            </w:tcMar>
            <w:vAlign w:val="bottom"/>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三峰实业有限公司</w:t>
            </w:r>
          </w:p>
        </w:tc>
        <w:tc>
          <w:tcPr>
            <w:tcW w:w="1772"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20,000,000.00</w:t>
            </w:r>
          </w:p>
        </w:tc>
        <w:tc>
          <w:tcPr>
            <w:tcW w:w="1655"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20,000,000.00</w:t>
            </w:r>
          </w:p>
        </w:tc>
        <w:tc>
          <w:tcPr>
            <w:tcW w:w="1284"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10.00</w:t>
            </w:r>
          </w:p>
        </w:tc>
      </w:tr>
      <w:tr w:rsidR="009E68BB" w:rsidRPr="006A4ECE" w:rsidTr="00063487">
        <w:trPr>
          <w:cantSplit/>
          <w:trHeight w:val="514"/>
          <w:jc w:val="center"/>
        </w:trPr>
        <w:tc>
          <w:tcPr>
            <w:tcW w:w="4011" w:type="dxa"/>
            <w:tcMar>
              <w:top w:w="15" w:type="dxa"/>
              <w:left w:w="15" w:type="dxa"/>
              <w:bottom w:w="0" w:type="dxa"/>
              <w:right w:w="15" w:type="dxa"/>
            </w:tcMar>
            <w:vAlign w:val="bottom"/>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浙江茂阳农发集团有限公司</w:t>
            </w:r>
          </w:p>
        </w:tc>
        <w:tc>
          <w:tcPr>
            <w:tcW w:w="1772"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20,000,000.00</w:t>
            </w:r>
          </w:p>
        </w:tc>
        <w:tc>
          <w:tcPr>
            <w:tcW w:w="1655"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20,000,000.00</w:t>
            </w:r>
          </w:p>
        </w:tc>
        <w:tc>
          <w:tcPr>
            <w:tcW w:w="1284"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10.00</w:t>
            </w:r>
          </w:p>
        </w:tc>
      </w:tr>
      <w:tr w:rsidR="009E68BB" w:rsidRPr="006A4ECE" w:rsidTr="00063487">
        <w:trPr>
          <w:cantSplit/>
          <w:trHeight w:val="514"/>
          <w:jc w:val="center"/>
        </w:trPr>
        <w:tc>
          <w:tcPr>
            <w:tcW w:w="4011" w:type="dxa"/>
            <w:tcMar>
              <w:top w:w="15" w:type="dxa"/>
              <w:left w:w="15" w:type="dxa"/>
              <w:bottom w:w="0" w:type="dxa"/>
              <w:right w:w="15" w:type="dxa"/>
            </w:tcMar>
            <w:vAlign w:val="bottom"/>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天铭嘉业文化传媒投资有限公司</w:t>
            </w:r>
          </w:p>
        </w:tc>
        <w:tc>
          <w:tcPr>
            <w:tcW w:w="1772"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18,000,000.00</w:t>
            </w:r>
          </w:p>
        </w:tc>
        <w:tc>
          <w:tcPr>
            <w:tcW w:w="1655"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18,000,000.00</w:t>
            </w:r>
          </w:p>
        </w:tc>
        <w:tc>
          <w:tcPr>
            <w:tcW w:w="1284"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9.00</w:t>
            </w:r>
          </w:p>
        </w:tc>
      </w:tr>
      <w:tr w:rsidR="009E68BB" w:rsidRPr="006A4ECE" w:rsidTr="00063487">
        <w:trPr>
          <w:cantSplit/>
          <w:trHeight w:val="514"/>
          <w:jc w:val="center"/>
        </w:trPr>
        <w:tc>
          <w:tcPr>
            <w:tcW w:w="4011" w:type="dxa"/>
            <w:tcMar>
              <w:top w:w="15" w:type="dxa"/>
              <w:left w:w="15" w:type="dxa"/>
              <w:bottom w:w="0" w:type="dxa"/>
              <w:right w:w="15" w:type="dxa"/>
            </w:tcMar>
            <w:vAlign w:val="bottom"/>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杭州金马轴承材料有限公司</w:t>
            </w:r>
          </w:p>
        </w:tc>
        <w:tc>
          <w:tcPr>
            <w:tcW w:w="1772"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17,000,000.00</w:t>
            </w:r>
          </w:p>
        </w:tc>
        <w:tc>
          <w:tcPr>
            <w:tcW w:w="1655"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17,000,000.00</w:t>
            </w:r>
          </w:p>
        </w:tc>
        <w:tc>
          <w:tcPr>
            <w:tcW w:w="1284"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8.50</w:t>
            </w:r>
          </w:p>
        </w:tc>
      </w:tr>
      <w:tr w:rsidR="009E68BB" w:rsidRPr="006A4ECE" w:rsidTr="00063487">
        <w:trPr>
          <w:cantSplit/>
          <w:trHeight w:val="514"/>
          <w:jc w:val="center"/>
        </w:trPr>
        <w:tc>
          <w:tcPr>
            <w:tcW w:w="4011" w:type="dxa"/>
            <w:tcMar>
              <w:top w:w="15" w:type="dxa"/>
              <w:left w:w="15" w:type="dxa"/>
              <w:bottom w:w="0" w:type="dxa"/>
              <w:right w:w="15" w:type="dxa"/>
            </w:tcMar>
            <w:vAlign w:val="bottom"/>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众圣集团有限公司</w:t>
            </w:r>
          </w:p>
        </w:tc>
        <w:tc>
          <w:tcPr>
            <w:tcW w:w="1772"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12,000,000.00</w:t>
            </w:r>
          </w:p>
        </w:tc>
        <w:tc>
          <w:tcPr>
            <w:tcW w:w="1655"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12,000,000.00</w:t>
            </w:r>
          </w:p>
        </w:tc>
        <w:tc>
          <w:tcPr>
            <w:tcW w:w="1284"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6.00</w:t>
            </w:r>
          </w:p>
        </w:tc>
      </w:tr>
      <w:tr w:rsidR="009E68BB" w:rsidRPr="006A4ECE" w:rsidTr="00063487">
        <w:trPr>
          <w:cantSplit/>
          <w:trHeight w:val="450"/>
          <w:jc w:val="center"/>
        </w:trPr>
        <w:tc>
          <w:tcPr>
            <w:tcW w:w="4011" w:type="dxa"/>
            <w:tcMar>
              <w:top w:w="15" w:type="dxa"/>
              <w:left w:w="15" w:type="dxa"/>
              <w:bottom w:w="0" w:type="dxa"/>
              <w:right w:w="15" w:type="dxa"/>
            </w:tcMar>
            <w:vAlign w:val="bottom"/>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诸暨市长途汽车运输有限公司</w:t>
            </w:r>
          </w:p>
        </w:tc>
        <w:tc>
          <w:tcPr>
            <w:tcW w:w="1772"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8,000,000.00</w:t>
            </w:r>
          </w:p>
        </w:tc>
        <w:tc>
          <w:tcPr>
            <w:tcW w:w="1655"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8,000,000.00</w:t>
            </w:r>
          </w:p>
        </w:tc>
        <w:tc>
          <w:tcPr>
            <w:tcW w:w="1284"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4.00</w:t>
            </w:r>
          </w:p>
        </w:tc>
      </w:tr>
      <w:tr w:rsidR="009E68BB" w:rsidRPr="006A4ECE" w:rsidTr="00063487">
        <w:trPr>
          <w:cantSplit/>
          <w:trHeight w:val="514"/>
          <w:jc w:val="center"/>
        </w:trPr>
        <w:tc>
          <w:tcPr>
            <w:tcW w:w="4011" w:type="dxa"/>
            <w:tcMar>
              <w:top w:w="15" w:type="dxa"/>
              <w:left w:w="15" w:type="dxa"/>
              <w:bottom w:w="0" w:type="dxa"/>
              <w:right w:w="15" w:type="dxa"/>
            </w:tcMar>
            <w:vAlign w:val="bottom"/>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杭州瀚和实业有限公司</w:t>
            </w:r>
          </w:p>
        </w:tc>
        <w:tc>
          <w:tcPr>
            <w:tcW w:w="1772"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5,000,000.00</w:t>
            </w:r>
          </w:p>
        </w:tc>
        <w:tc>
          <w:tcPr>
            <w:tcW w:w="1655"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5,000,000.00</w:t>
            </w:r>
          </w:p>
        </w:tc>
        <w:tc>
          <w:tcPr>
            <w:tcW w:w="1284"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2.50</w:t>
            </w:r>
          </w:p>
        </w:tc>
      </w:tr>
      <w:tr w:rsidR="009E68BB" w:rsidRPr="006A4ECE" w:rsidTr="00063487">
        <w:trPr>
          <w:cantSplit/>
          <w:trHeight w:val="538"/>
          <w:jc w:val="center"/>
        </w:trPr>
        <w:tc>
          <w:tcPr>
            <w:tcW w:w="4011" w:type="dxa"/>
            <w:tcMar>
              <w:top w:w="15" w:type="dxa"/>
              <w:left w:w="15" w:type="dxa"/>
              <w:bottom w:w="0" w:type="dxa"/>
              <w:right w:w="15" w:type="dxa"/>
            </w:tcMar>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合  计</w:t>
            </w:r>
          </w:p>
        </w:tc>
        <w:tc>
          <w:tcPr>
            <w:tcW w:w="1772"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200,000,000.00</w:t>
            </w:r>
          </w:p>
        </w:tc>
        <w:tc>
          <w:tcPr>
            <w:tcW w:w="1655"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200,000,000.00</w:t>
            </w:r>
          </w:p>
        </w:tc>
        <w:tc>
          <w:tcPr>
            <w:tcW w:w="1284" w:type="dxa"/>
            <w:vAlign w:val="center"/>
          </w:tcPr>
          <w:p w:rsidR="009E68BB" w:rsidRPr="006A4ECE" w:rsidRDefault="009E68BB" w:rsidP="00063487">
            <w:pPr>
              <w:widowControl/>
              <w:jc w:val="right"/>
              <w:rPr>
                <w:rFonts w:asciiTheme="minorEastAsia" w:eastAsiaTheme="minorEastAsia" w:hAnsiTheme="minorEastAsia"/>
                <w:kern w:val="0"/>
                <w:sz w:val="22"/>
              </w:rPr>
            </w:pPr>
            <w:r w:rsidRPr="006A4ECE">
              <w:rPr>
                <w:rFonts w:asciiTheme="minorEastAsia" w:eastAsiaTheme="minorEastAsia" w:hAnsiTheme="minorEastAsia"/>
                <w:kern w:val="0"/>
                <w:sz w:val="22"/>
              </w:rPr>
              <w:t>100.00</w:t>
            </w:r>
          </w:p>
        </w:tc>
      </w:tr>
    </w:tbl>
    <w:p w:rsidR="009E68BB" w:rsidRPr="006A4ECE" w:rsidRDefault="009E68BB" w:rsidP="006A4ECE">
      <w:pPr>
        <w:widowControl/>
        <w:spacing w:line="560" w:lineRule="exact"/>
        <w:ind w:firstLineChars="200" w:firstLine="602"/>
        <w:jc w:val="left"/>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2、关联方交易</w:t>
      </w:r>
    </w:p>
    <w:p w:rsidR="009E68BB" w:rsidRPr="006A4ECE" w:rsidRDefault="009E68BB" w:rsidP="006A4ECE">
      <w:pPr>
        <w:tabs>
          <w:tab w:val="right" w:pos="7740"/>
        </w:tabs>
        <w:spacing w:line="560" w:lineRule="exact"/>
        <w:ind w:firstLineChars="200" w:firstLine="602"/>
        <w:rPr>
          <w:rFonts w:asciiTheme="minorEastAsia" w:eastAsiaTheme="minorEastAsia" w:hAnsiTheme="minorEastAsia" w:cs="Tahoma"/>
          <w:b/>
          <w:sz w:val="30"/>
          <w:szCs w:val="30"/>
        </w:rPr>
      </w:pPr>
      <w:r w:rsidRPr="006A4ECE">
        <w:rPr>
          <w:rFonts w:asciiTheme="minorEastAsia" w:eastAsiaTheme="minorEastAsia" w:hAnsiTheme="minorEastAsia" w:cs="Tahoma" w:hint="eastAsia"/>
          <w:b/>
          <w:sz w:val="30"/>
          <w:szCs w:val="30"/>
        </w:rPr>
        <w:lastRenderedPageBreak/>
        <w:t>（1）关联方贷款</w:t>
      </w:r>
    </w:p>
    <w:p w:rsidR="009E68BB" w:rsidRPr="006A4ECE" w:rsidRDefault="009E68BB" w:rsidP="009E68BB">
      <w:pPr>
        <w:tabs>
          <w:tab w:val="right" w:pos="7740"/>
        </w:tabs>
        <w:spacing w:line="560" w:lineRule="exact"/>
        <w:ind w:firstLineChars="200" w:firstLine="600"/>
        <w:rPr>
          <w:rFonts w:asciiTheme="minorEastAsia" w:eastAsiaTheme="minorEastAsia" w:hAnsiTheme="minorEastAsia" w:cs="Tahoma"/>
          <w:sz w:val="30"/>
          <w:szCs w:val="30"/>
        </w:rPr>
      </w:pPr>
      <w:r w:rsidRPr="006A4ECE">
        <w:rPr>
          <w:rFonts w:asciiTheme="minorEastAsia" w:eastAsiaTheme="minorEastAsia" w:hAnsiTheme="minorEastAsia" w:cs="Tahoma" w:hint="eastAsia"/>
          <w:sz w:val="30"/>
          <w:szCs w:val="30"/>
        </w:rPr>
        <w:t>编制单位：浙江诸暨联合村镇银行股份有限公司</w:t>
      </w:r>
    </w:p>
    <w:p w:rsidR="009E68BB" w:rsidRPr="006A4ECE" w:rsidRDefault="009E68BB" w:rsidP="009E68BB">
      <w:pPr>
        <w:tabs>
          <w:tab w:val="right" w:pos="7740"/>
        </w:tabs>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cs="Tahoma" w:hint="eastAsia"/>
          <w:sz w:val="30"/>
          <w:szCs w:val="30"/>
        </w:rPr>
        <w:t xml:space="preserve">编制月份：2021年12月  </w:t>
      </w:r>
      <w:r w:rsidRPr="006A4ECE">
        <w:rPr>
          <w:rFonts w:asciiTheme="minorEastAsia" w:eastAsiaTheme="minorEastAsia" w:hAnsiTheme="minorEastAsia" w:hint="eastAsia"/>
          <w:sz w:val="30"/>
          <w:szCs w:val="30"/>
        </w:rPr>
        <w:t>单位：人民币元</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5" w:type="dxa"/>
        </w:tblCellMar>
        <w:tblLook w:val="04A0"/>
      </w:tblPr>
      <w:tblGrid>
        <w:gridCol w:w="3939"/>
        <w:gridCol w:w="2759"/>
        <w:gridCol w:w="2022"/>
      </w:tblGrid>
      <w:tr w:rsidR="009E68BB" w:rsidRPr="006A4ECE" w:rsidTr="00063487">
        <w:trPr>
          <w:cantSplit/>
          <w:trHeight w:val="543"/>
          <w:jc w:val="center"/>
        </w:trPr>
        <w:tc>
          <w:tcPr>
            <w:tcW w:w="3939" w:type="dxa"/>
            <w:tcMar>
              <w:top w:w="15" w:type="dxa"/>
              <w:left w:w="15" w:type="dxa"/>
              <w:bottom w:w="0" w:type="dxa"/>
              <w:right w:w="15" w:type="dxa"/>
            </w:tcMar>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关联方名称</w:t>
            </w:r>
          </w:p>
        </w:tc>
        <w:tc>
          <w:tcPr>
            <w:tcW w:w="2759"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与本行关系</w:t>
            </w:r>
          </w:p>
        </w:tc>
        <w:tc>
          <w:tcPr>
            <w:tcW w:w="2022"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期末数</w:t>
            </w:r>
          </w:p>
        </w:tc>
      </w:tr>
      <w:tr w:rsidR="009E68BB" w:rsidRPr="006A4ECE" w:rsidTr="00063487">
        <w:trPr>
          <w:cantSplit/>
          <w:trHeight w:val="442"/>
          <w:jc w:val="center"/>
        </w:trPr>
        <w:tc>
          <w:tcPr>
            <w:tcW w:w="3939" w:type="dxa"/>
            <w:tcMar>
              <w:top w:w="15" w:type="dxa"/>
              <w:left w:w="15" w:type="dxa"/>
              <w:bottom w:w="0" w:type="dxa"/>
              <w:right w:w="15" w:type="dxa"/>
            </w:tcMar>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浙江米果果生态农业集团有限公司</w:t>
            </w:r>
          </w:p>
        </w:tc>
        <w:tc>
          <w:tcPr>
            <w:tcW w:w="2759"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本行股东实际控制企业</w:t>
            </w:r>
          </w:p>
        </w:tc>
        <w:tc>
          <w:tcPr>
            <w:tcW w:w="202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kern w:val="0"/>
                <w:sz w:val="24"/>
              </w:rPr>
              <w:t>9,900,000.00</w:t>
            </w:r>
          </w:p>
        </w:tc>
      </w:tr>
      <w:tr w:rsidR="009E68BB" w:rsidRPr="006A4ECE" w:rsidTr="00063487">
        <w:trPr>
          <w:cantSplit/>
          <w:trHeight w:val="522"/>
          <w:jc w:val="center"/>
        </w:trPr>
        <w:tc>
          <w:tcPr>
            <w:tcW w:w="6698" w:type="dxa"/>
            <w:gridSpan w:val="2"/>
            <w:tcMar>
              <w:top w:w="15" w:type="dxa"/>
              <w:left w:w="15" w:type="dxa"/>
              <w:bottom w:w="0" w:type="dxa"/>
              <w:right w:w="15" w:type="dxa"/>
            </w:tcMar>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小计</w:t>
            </w:r>
          </w:p>
        </w:tc>
        <w:tc>
          <w:tcPr>
            <w:tcW w:w="202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kern w:val="0"/>
                <w:sz w:val="24"/>
              </w:rPr>
              <w:t>9,900,000.00</w:t>
            </w:r>
          </w:p>
        </w:tc>
      </w:tr>
    </w:tbl>
    <w:p w:rsidR="009E68BB" w:rsidRPr="006A4ECE" w:rsidRDefault="009E68BB" w:rsidP="009E68BB">
      <w:pPr>
        <w:tabs>
          <w:tab w:val="right" w:pos="7740"/>
        </w:tabs>
        <w:spacing w:line="560" w:lineRule="exact"/>
        <w:rPr>
          <w:rFonts w:asciiTheme="minorEastAsia" w:eastAsiaTheme="minorEastAsia" w:hAnsiTheme="minorEastAsia" w:cs="Tahoma"/>
          <w:sz w:val="30"/>
          <w:szCs w:val="30"/>
        </w:rPr>
      </w:pPr>
      <w:r w:rsidRPr="006A4ECE">
        <w:rPr>
          <w:rFonts w:asciiTheme="minorEastAsia" w:eastAsiaTheme="minorEastAsia" w:hAnsiTheme="minorEastAsia" w:cs="Tahoma" w:hint="eastAsia"/>
          <w:sz w:val="30"/>
          <w:szCs w:val="30"/>
        </w:rPr>
        <w:t xml:space="preserve">  </w:t>
      </w:r>
    </w:p>
    <w:p w:rsidR="009E68BB" w:rsidRPr="006A4ECE" w:rsidRDefault="009E68BB" w:rsidP="009E68BB">
      <w:pPr>
        <w:tabs>
          <w:tab w:val="right" w:pos="7740"/>
        </w:tabs>
        <w:spacing w:line="560" w:lineRule="exact"/>
        <w:rPr>
          <w:rFonts w:asciiTheme="minorEastAsia" w:eastAsiaTheme="minorEastAsia" w:hAnsiTheme="minorEastAsia" w:cs="Tahoma"/>
          <w:b/>
          <w:sz w:val="30"/>
          <w:szCs w:val="30"/>
        </w:rPr>
      </w:pPr>
      <w:r w:rsidRPr="006A4ECE">
        <w:rPr>
          <w:rFonts w:asciiTheme="minorEastAsia" w:eastAsiaTheme="minorEastAsia" w:hAnsiTheme="minorEastAsia" w:cs="Tahoma" w:hint="eastAsia"/>
          <w:sz w:val="30"/>
          <w:szCs w:val="30"/>
        </w:rPr>
        <w:t xml:space="preserve"> </w:t>
      </w:r>
      <w:r w:rsidRPr="006A4ECE">
        <w:rPr>
          <w:rFonts w:asciiTheme="minorEastAsia" w:eastAsiaTheme="minorEastAsia" w:hAnsiTheme="minorEastAsia" w:cs="Tahoma" w:hint="eastAsia"/>
          <w:b/>
          <w:sz w:val="30"/>
          <w:szCs w:val="30"/>
        </w:rPr>
        <w:t>（</w:t>
      </w:r>
      <w:r w:rsidRPr="006A4ECE">
        <w:rPr>
          <w:rFonts w:asciiTheme="minorEastAsia" w:eastAsiaTheme="minorEastAsia" w:hAnsiTheme="minorEastAsia" w:cs="Tahoma"/>
          <w:b/>
          <w:sz w:val="30"/>
          <w:szCs w:val="30"/>
        </w:rPr>
        <w:t>2）</w:t>
      </w:r>
      <w:r w:rsidRPr="006A4ECE">
        <w:rPr>
          <w:rFonts w:asciiTheme="minorEastAsia" w:eastAsiaTheme="minorEastAsia" w:hAnsiTheme="minorEastAsia" w:cs="Tahoma" w:hint="eastAsia"/>
          <w:b/>
          <w:sz w:val="30"/>
          <w:szCs w:val="30"/>
        </w:rPr>
        <w:t>关联方其他业务往来余额</w:t>
      </w:r>
    </w:p>
    <w:p w:rsidR="009E68BB" w:rsidRPr="006A4ECE" w:rsidRDefault="009E68BB" w:rsidP="009E68BB">
      <w:pPr>
        <w:tabs>
          <w:tab w:val="right" w:pos="7740"/>
        </w:tabs>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cs="Tahoma" w:hint="eastAsia"/>
          <w:sz w:val="30"/>
          <w:szCs w:val="30"/>
        </w:rPr>
        <w:t>编制月份：2021年</w:t>
      </w:r>
      <w:r w:rsidRPr="006A4ECE">
        <w:rPr>
          <w:rFonts w:asciiTheme="minorEastAsia" w:eastAsiaTheme="minorEastAsia" w:hAnsiTheme="minorEastAsia" w:cs="Tahoma"/>
          <w:sz w:val="30"/>
          <w:szCs w:val="30"/>
        </w:rPr>
        <w:t>12月</w:t>
      </w:r>
      <w:r w:rsidRPr="006A4ECE">
        <w:rPr>
          <w:rFonts w:asciiTheme="minorEastAsia" w:eastAsiaTheme="minorEastAsia" w:hAnsiTheme="minorEastAsia" w:cs="Tahoma" w:hint="eastAsia"/>
          <w:sz w:val="30"/>
          <w:szCs w:val="30"/>
        </w:rPr>
        <w:t xml:space="preserve">  </w:t>
      </w:r>
      <w:r w:rsidRPr="006A4ECE">
        <w:rPr>
          <w:rFonts w:asciiTheme="minorEastAsia" w:eastAsiaTheme="minorEastAsia" w:hAnsiTheme="minorEastAsia" w:hint="eastAsia"/>
          <w:sz w:val="30"/>
          <w:szCs w:val="30"/>
        </w:rPr>
        <w:t>单位：人民币元</w:t>
      </w:r>
    </w:p>
    <w:tbl>
      <w:tblPr>
        <w:tblW w:w="90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85" w:type="dxa"/>
        </w:tblCellMar>
        <w:tblLook w:val="04A0"/>
      </w:tblPr>
      <w:tblGrid>
        <w:gridCol w:w="4756"/>
        <w:gridCol w:w="2045"/>
        <w:gridCol w:w="2219"/>
      </w:tblGrid>
      <w:tr w:rsidR="009E68BB" w:rsidRPr="006A4ECE" w:rsidTr="00063487">
        <w:trPr>
          <w:trHeight w:val="415"/>
          <w:jc w:val="center"/>
        </w:trPr>
        <w:tc>
          <w:tcPr>
            <w:tcW w:w="4756"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名  称</w:t>
            </w:r>
          </w:p>
        </w:tc>
        <w:tc>
          <w:tcPr>
            <w:tcW w:w="2045" w:type="dxa"/>
            <w:vAlign w:val="bottom"/>
          </w:tcPr>
          <w:p w:rsidR="009E68BB" w:rsidRPr="006A4ECE" w:rsidRDefault="009E68BB" w:rsidP="00063487">
            <w:pPr>
              <w:widowControl/>
              <w:ind w:rightChars="50" w:right="105"/>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期末数</w:t>
            </w:r>
          </w:p>
        </w:tc>
        <w:tc>
          <w:tcPr>
            <w:tcW w:w="2219" w:type="dxa"/>
            <w:vAlign w:val="bottom"/>
          </w:tcPr>
          <w:p w:rsidR="009E68BB" w:rsidRPr="006A4ECE" w:rsidRDefault="009E68BB" w:rsidP="00063487">
            <w:pPr>
              <w:widowControl/>
              <w:tabs>
                <w:tab w:val="right" w:pos="7740"/>
              </w:tabs>
              <w:ind w:rightChars="49" w:right="103"/>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期初数</w:t>
            </w:r>
          </w:p>
        </w:tc>
      </w:tr>
      <w:tr w:rsidR="009E68BB" w:rsidRPr="006A4ECE" w:rsidTr="00063487">
        <w:trPr>
          <w:trHeight w:val="412"/>
          <w:jc w:val="center"/>
        </w:trPr>
        <w:tc>
          <w:tcPr>
            <w:tcW w:w="4756" w:type="dxa"/>
            <w:vAlign w:val="center"/>
          </w:tcPr>
          <w:p w:rsidR="009E68BB" w:rsidRPr="006A4ECE" w:rsidRDefault="009E68BB" w:rsidP="00063487">
            <w:pPr>
              <w:widowControl/>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存放同业款项</w:t>
            </w:r>
          </w:p>
        </w:tc>
        <w:tc>
          <w:tcPr>
            <w:tcW w:w="2045" w:type="dxa"/>
            <w:tcMar>
              <w:right w:w="85" w:type="dxa"/>
            </w:tcMar>
            <w:vAlign w:val="center"/>
          </w:tcPr>
          <w:p w:rsidR="009E68BB" w:rsidRPr="006A4ECE" w:rsidRDefault="009E68BB" w:rsidP="00063487">
            <w:pPr>
              <w:rPr>
                <w:rFonts w:asciiTheme="minorEastAsia" w:eastAsiaTheme="minorEastAsia" w:hAnsiTheme="minorEastAsia"/>
                <w:color w:val="0D0D0D"/>
                <w:sz w:val="24"/>
              </w:rPr>
            </w:pPr>
          </w:p>
        </w:tc>
        <w:tc>
          <w:tcPr>
            <w:tcW w:w="2219" w:type="dxa"/>
            <w:tcMar>
              <w:right w:w="85" w:type="dxa"/>
            </w:tcMar>
            <w:vAlign w:val="center"/>
          </w:tcPr>
          <w:p w:rsidR="009E68BB" w:rsidRPr="006A4ECE" w:rsidRDefault="009E68BB" w:rsidP="00063487">
            <w:pPr>
              <w:rPr>
                <w:rFonts w:asciiTheme="minorEastAsia" w:eastAsiaTheme="minorEastAsia" w:hAnsiTheme="minorEastAsia"/>
                <w:color w:val="0D0D0D"/>
                <w:sz w:val="24"/>
              </w:rPr>
            </w:pPr>
          </w:p>
        </w:tc>
      </w:tr>
      <w:tr w:rsidR="009E68BB" w:rsidRPr="006A4ECE" w:rsidTr="00063487">
        <w:trPr>
          <w:trHeight w:val="391"/>
          <w:jc w:val="center"/>
        </w:trPr>
        <w:tc>
          <w:tcPr>
            <w:tcW w:w="4756" w:type="dxa"/>
            <w:tcBorders>
              <w:bottom w:val="single" w:sz="8" w:space="0" w:color="auto"/>
            </w:tcBorders>
            <w:vAlign w:val="center"/>
          </w:tcPr>
          <w:p w:rsidR="009E68BB" w:rsidRPr="006A4ECE" w:rsidRDefault="009E68BB" w:rsidP="00063487">
            <w:pPr>
              <w:rPr>
                <w:rFonts w:asciiTheme="minorEastAsia" w:eastAsiaTheme="minorEastAsia" w:hAnsiTheme="minorEastAsia"/>
                <w:color w:val="0D0D0D"/>
                <w:sz w:val="24"/>
              </w:rPr>
            </w:pPr>
            <w:r w:rsidRPr="006A4ECE">
              <w:rPr>
                <w:rFonts w:asciiTheme="minorEastAsia" w:eastAsiaTheme="minorEastAsia" w:hAnsiTheme="minorEastAsia" w:hint="eastAsia"/>
                <w:color w:val="0D0D0D"/>
                <w:sz w:val="24"/>
              </w:rPr>
              <w:t>杭州联合农村商业银行股份有限公司</w:t>
            </w:r>
          </w:p>
        </w:tc>
        <w:tc>
          <w:tcPr>
            <w:tcW w:w="2045" w:type="dxa"/>
            <w:tcBorders>
              <w:bottom w:val="single" w:sz="8" w:space="0" w:color="auto"/>
            </w:tcBorders>
            <w:tcMar>
              <w:right w:w="85" w:type="dxa"/>
            </w:tcMar>
            <w:vAlign w:val="center"/>
          </w:tcPr>
          <w:p w:rsidR="009E68BB" w:rsidRPr="006A4ECE" w:rsidRDefault="009E68BB" w:rsidP="00063487">
            <w:pPr>
              <w:autoSpaceDE w:val="0"/>
              <w:autoSpaceDN w:val="0"/>
              <w:adjustRightInd w:val="0"/>
              <w:jc w:val="right"/>
              <w:rPr>
                <w:rFonts w:asciiTheme="minorEastAsia" w:eastAsiaTheme="minorEastAsia" w:hAnsiTheme="minorEastAsia"/>
                <w:sz w:val="24"/>
              </w:rPr>
            </w:pPr>
            <w:r w:rsidRPr="006A4ECE">
              <w:rPr>
                <w:rFonts w:asciiTheme="minorEastAsia" w:eastAsiaTheme="minorEastAsia" w:hAnsiTheme="minorEastAsia" w:hint="eastAsia"/>
                <w:sz w:val="24"/>
              </w:rPr>
              <w:t>250,274,716.61</w:t>
            </w:r>
          </w:p>
        </w:tc>
        <w:tc>
          <w:tcPr>
            <w:tcW w:w="2219" w:type="dxa"/>
            <w:tcBorders>
              <w:bottom w:val="single" w:sz="8" w:space="0" w:color="auto"/>
            </w:tcBorders>
            <w:tcMar>
              <w:right w:w="85" w:type="dxa"/>
            </w:tcMar>
          </w:tcPr>
          <w:p w:rsidR="009E68BB" w:rsidRPr="006A4ECE" w:rsidRDefault="009E68BB" w:rsidP="00063487">
            <w:pPr>
              <w:autoSpaceDE w:val="0"/>
              <w:autoSpaceDN w:val="0"/>
              <w:adjustRightInd w:val="0"/>
              <w:jc w:val="right"/>
              <w:rPr>
                <w:rFonts w:asciiTheme="minorEastAsia" w:eastAsiaTheme="minorEastAsia" w:hAnsiTheme="minorEastAsia"/>
                <w:sz w:val="24"/>
              </w:rPr>
            </w:pPr>
            <w:r w:rsidRPr="006A4ECE">
              <w:rPr>
                <w:rFonts w:asciiTheme="minorEastAsia" w:eastAsiaTheme="minorEastAsia" w:hAnsiTheme="minorEastAsia" w:hint="eastAsia"/>
                <w:sz w:val="24"/>
              </w:rPr>
              <w:t>438,290,040.15</w:t>
            </w:r>
          </w:p>
        </w:tc>
      </w:tr>
      <w:tr w:rsidR="009E68BB" w:rsidRPr="006A4ECE" w:rsidTr="00063487">
        <w:trPr>
          <w:trHeight w:val="391"/>
          <w:jc w:val="center"/>
        </w:trPr>
        <w:tc>
          <w:tcPr>
            <w:tcW w:w="4756" w:type="dxa"/>
            <w:tcBorders>
              <w:bottom w:val="single" w:sz="8" w:space="0" w:color="auto"/>
            </w:tcBorders>
            <w:vAlign w:val="center"/>
          </w:tcPr>
          <w:p w:rsidR="009E68BB" w:rsidRPr="006A4ECE" w:rsidRDefault="009E68BB" w:rsidP="00063487">
            <w:pPr>
              <w:rPr>
                <w:rFonts w:asciiTheme="minorEastAsia" w:eastAsiaTheme="minorEastAsia" w:hAnsiTheme="minorEastAsia"/>
                <w:color w:val="0D0D0D"/>
                <w:sz w:val="24"/>
              </w:rPr>
            </w:pPr>
            <w:r w:rsidRPr="006A4ECE">
              <w:rPr>
                <w:rFonts w:asciiTheme="minorEastAsia" w:eastAsiaTheme="minorEastAsia" w:hAnsiTheme="minorEastAsia" w:hint="eastAsia"/>
                <w:color w:val="0D0D0D"/>
                <w:sz w:val="24"/>
              </w:rPr>
              <w:t>浙江长兴联合村镇银行股份有限公司</w:t>
            </w:r>
          </w:p>
        </w:tc>
        <w:tc>
          <w:tcPr>
            <w:tcW w:w="2045" w:type="dxa"/>
            <w:tcBorders>
              <w:bottom w:val="single" w:sz="8" w:space="0" w:color="auto"/>
            </w:tcBorders>
            <w:tcMar>
              <w:right w:w="85" w:type="dxa"/>
            </w:tcMar>
            <w:vAlign w:val="center"/>
          </w:tcPr>
          <w:p w:rsidR="009E68BB" w:rsidRPr="006A4ECE" w:rsidRDefault="009E68BB" w:rsidP="00063487">
            <w:pPr>
              <w:autoSpaceDE w:val="0"/>
              <w:autoSpaceDN w:val="0"/>
              <w:adjustRightInd w:val="0"/>
              <w:jc w:val="right"/>
              <w:rPr>
                <w:rFonts w:asciiTheme="minorEastAsia" w:eastAsiaTheme="minorEastAsia" w:hAnsiTheme="minorEastAsia"/>
                <w:bCs/>
                <w:kern w:val="0"/>
                <w:sz w:val="24"/>
              </w:rPr>
            </w:pPr>
            <w:r w:rsidRPr="006A4ECE">
              <w:rPr>
                <w:rFonts w:asciiTheme="minorEastAsia" w:eastAsiaTheme="minorEastAsia" w:hAnsiTheme="minorEastAsia" w:hint="eastAsia"/>
                <w:bCs/>
                <w:kern w:val="0"/>
                <w:sz w:val="24"/>
              </w:rPr>
              <w:t>15,000,000</w:t>
            </w:r>
          </w:p>
        </w:tc>
        <w:tc>
          <w:tcPr>
            <w:tcW w:w="2219" w:type="dxa"/>
            <w:tcBorders>
              <w:bottom w:val="single" w:sz="8" w:space="0" w:color="auto"/>
            </w:tcBorders>
            <w:tcMar>
              <w:right w:w="85" w:type="dxa"/>
            </w:tcMar>
          </w:tcPr>
          <w:p w:rsidR="009E68BB" w:rsidRPr="006A4ECE" w:rsidRDefault="009E68BB" w:rsidP="00063487">
            <w:pPr>
              <w:autoSpaceDE w:val="0"/>
              <w:autoSpaceDN w:val="0"/>
              <w:adjustRightInd w:val="0"/>
              <w:jc w:val="right"/>
              <w:rPr>
                <w:rFonts w:asciiTheme="minorEastAsia" w:eastAsiaTheme="minorEastAsia" w:hAnsiTheme="minorEastAsia"/>
                <w:sz w:val="24"/>
              </w:rPr>
            </w:pPr>
          </w:p>
        </w:tc>
      </w:tr>
      <w:tr w:rsidR="009E68BB" w:rsidRPr="006A4ECE" w:rsidTr="00063487">
        <w:trPr>
          <w:trHeight w:val="391"/>
          <w:jc w:val="center"/>
        </w:trPr>
        <w:tc>
          <w:tcPr>
            <w:tcW w:w="4756" w:type="dxa"/>
            <w:tcBorders>
              <w:bottom w:val="single" w:sz="8" w:space="0" w:color="auto"/>
            </w:tcBorders>
            <w:vAlign w:val="center"/>
          </w:tcPr>
          <w:p w:rsidR="009E68BB" w:rsidRPr="006A4ECE" w:rsidRDefault="009E68BB" w:rsidP="00063487">
            <w:pPr>
              <w:rPr>
                <w:rFonts w:asciiTheme="minorEastAsia" w:eastAsiaTheme="minorEastAsia" w:hAnsiTheme="minorEastAsia"/>
                <w:color w:val="0D0D0D"/>
                <w:sz w:val="24"/>
              </w:rPr>
            </w:pPr>
            <w:r w:rsidRPr="006A4ECE">
              <w:rPr>
                <w:rFonts w:asciiTheme="minorEastAsia" w:eastAsiaTheme="minorEastAsia" w:hAnsiTheme="minorEastAsia" w:hint="eastAsia"/>
                <w:color w:val="0D0D0D"/>
                <w:sz w:val="24"/>
              </w:rPr>
              <w:t>安徽寿县联合村镇银行股份有限公司</w:t>
            </w:r>
          </w:p>
        </w:tc>
        <w:tc>
          <w:tcPr>
            <w:tcW w:w="2045" w:type="dxa"/>
            <w:tcBorders>
              <w:bottom w:val="single" w:sz="8" w:space="0" w:color="auto"/>
            </w:tcBorders>
            <w:tcMar>
              <w:right w:w="85" w:type="dxa"/>
            </w:tcMar>
            <w:vAlign w:val="center"/>
          </w:tcPr>
          <w:p w:rsidR="009E68BB" w:rsidRPr="006A4ECE" w:rsidRDefault="009E68BB" w:rsidP="00063487">
            <w:pPr>
              <w:wordWrap w:val="0"/>
              <w:autoSpaceDE w:val="0"/>
              <w:autoSpaceDN w:val="0"/>
              <w:adjustRightInd w:val="0"/>
              <w:jc w:val="right"/>
              <w:rPr>
                <w:rFonts w:asciiTheme="minorEastAsia" w:eastAsiaTheme="minorEastAsia" w:hAnsiTheme="minorEastAsia"/>
                <w:bCs/>
                <w:kern w:val="0"/>
                <w:sz w:val="24"/>
              </w:rPr>
            </w:pPr>
            <w:r w:rsidRPr="006A4ECE">
              <w:rPr>
                <w:rFonts w:asciiTheme="minorEastAsia" w:eastAsiaTheme="minorEastAsia" w:hAnsiTheme="minorEastAsia" w:hint="eastAsia"/>
                <w:bCs/>
                <w:kern w:val="0"/>
                <w:sz w:val="24"/>
              </w:rPr>
              <w:t>20,000,000</w:t>
            </w:r>
          </w:p>
        </w:tc>
        <w:tc>
          <w:tcPr>
            <w:tcW w:w="2219" w:type="dxa"/>
            <w:tcBorders>
              <w:bottom w:val="single" w:sz="8" w:space="0" w:color="auto"/>
            </w:tcBorders>
            <w:tcMar>
              <w:right w:w="85" w:type="dxa"/>
            </w:tcMar>
          </w:tcPr>
          <w:p w:rsidR="009E68BB" w:rsidRPr="006A4ECE" w:rsidRDefault="009E68BB" w:rsidP="00063487">
            <w:pPr>
              <w:autoSpaceDE w:val="0"/>
              <w:autoSpaceDN w:val="0"/>
              <w:adjustRightInd w:val="0"/>
              <w:jc w:val="right"/>
              <w:rPr>
                <w:rFonts w:asciiTheme="minorEastAsia" w:eastAsiaTheme="minorEastAsia" w:hAnsiTheme="minorEastAsia"/>
                <w:sz w:val="24"/>
              </w:rPr>
            </w:pPr>
          </w:p>
        </w:tc>
      </w:tr>
      <w:tr w:rsidR="009E68BB" w:rsidRPr="006A4ECE" w:rsidTr="00063487">
        <w:trPr>
          <w:trHeight w:val="391"/>
          <w:jc w:val="center"/>
        </w:trPr>
        <w:tc>
          <w:tcPr>
            <w:tcW w:w="4756" w:type="dxa"/>
            <w:tcBorders>
              <w:top w:val="single" w:sz="8" w:space="0" w:color="auto"/>
            </w:tcBorders>
            <w:vAlign w:val="center"/>
          </w:tcPr>
          <w:p w:rsidR="009E68BB" w:rsidRPr="006A4ECE" w:rsidRDefault="009E68BB" w:rsidP="00063487">
            <w:pPr>
              <w:widowControl/>
              <w:jc w:val="center"/>
              <w:outlineLvl w:val="4"/>
              <w:rPr>
                <w:rFonts w:asciiTheme="minorEastAsia" w:eastAsiaTheme="minorEastAsia" w:hAnsiTheme="minorEastAsia" w:cs="宋体"/>
                <w:sz w:val="24"/>
              </w:rPr>
            </w:pPr>
            <w:r w:rsidRPr="006A4ECE">
              <w:rPr>
                <w:rFonts w:asciiTheme="minorEastAsia" w:eastAsiaTheme="minorEastAsia" w:hAnsiTheme="minorEastAsia" w:cs="宋体" w:hint="eastAsia"/>
                <w:sz w:val="24"/>
              </w:rPr>
              <w:t>合计</w:t>
            </w:r>
          </w:p>
        </w:tc>
        <w:tc>
          <w:tcPr>
            <w:tcW w:w="2045" w:type="dxa"/>
            <w:tcBorders>
              <w:top w:val="single" w:sz="8" w:space="0" w:color="auto"/>
            </w:tcBorders>
            <w:tcMar>
              <w:right w:w="85" w:type="dxa"/>
            </w:tcMar>
            <w:vAlign w:val="center"/>
          </w:tcPr>
          <w:p w:rsidR="009E68BB" w:rsidRPr="006A4ECE" w:rsidRDefault="009E68BB" w:rsidP="00063487">
            <w:pPr>
              <w:autoSpaceDE w:val="0"/>
              <w:autoSpaceDN w:val="0"/>
              <w:adjustRightInd w:val="0"/>
              <w:jc w:val="right"/>
              <w:rPr>
                <w:rFonts w:asciiTheme="minorEastAsia" w:eastAsiaTheme="minorEastAsia" w:hAnsiTheme="minorEastAsia"/>
                <w:bCs/>
                <w:kern w:val="0"/>
                <w:sz w:val="24"/>
              </w:rPr>
            </w:pPr>
            <w:r w:rsidRPr="006A4ECE">
              <w:rPr>
                <w:rFonts w:asciiTheme="minorEastAsia" w:eastAsiaTheme="minorEastAsia" w:hAnsiTheme="minorEastAsia" w:hint="eastAsia"/>
                <w:bCs/>
                <w:kern w:val="0"/>
                <w:sz w:val="24"/>
              </w:rPr>
              <w:t>285,274,716.61</w:t>
            </w:r>
          </w:p>
        </w:tc>
        <w:tc>
          <w:tcPr>
            <w:tcW w:w="2219" w:type="dxa"/>
            <w:tcBorders>
              <w:top w:val="single" w:sz="8" w:space="0" w:color="auto"/>
            </w:tcBorders>
            <w:tcMar>
              <w:right w:w="85" w:type="dxa"/>
            </w:tcMar>
          </w:tcPr>
          <w:p w:rsidR="009E68BB" w:rsidRPr="006A4ECE" w:rsidRDefault="009E68BB" w:rsidP="00063487">
            <w:pPr>
              <w:autoSpaceDE w:val="0"/>
              <w:autoSpaceDN w:val="0"/>
              <w:adjustRightInd w:val="0"/>
              <w:jc w:val="right"/>
              <w:rPr>
                <w:rFonts w:asciiTheme="minorEastAsia" w:eastAsiaTheme="minorEastAsia" w:hAnsiTheme="minorEastAsia"/>
                <w:sz w:val="24"/>
              </w:rPr>
            </w:pPr>
            <w:r w:rsidRPr="006A4ECE">
              <w:rPr>
                <w:rFonts w:asciiTheme="minorEastAsia" w:eastAsiaTheme="minorEastAsia" w:hAnsiTheme="minorEastAsia" w:hint="eastAsia"/>
                <w:sz w:val="24"/>
              </w:rPr>
              <w:t>438,290,040.15</w:t>
            </w:r>
          </w:p>
        </w:tc>
      </w:tr>
      <w:tr w:rsidR="009E68BB" w:rsidRPr="006A4ECE" w:rsidTr="00063487">
        <w:trPr>
          <w:trHeight w:val="391"/>
          <w:jc w:val="center"/>
        </w:trPr>
        <w:tc>
          <w:tcPr>
            <w:tcW w:w="4756" w:type="dxa"/>
            <w:vAlign w:val="center"/>
          </w:tcPr>
          <w:p w:rsidR="009E68BB" w:rsidRPr="006A4ECE" w:rsidRDefault="009E68BB" w:rsidP="00063487">
            <w:pPr>
              <w:rPr>
                <w:rFonts w:asciiTheme="minorEastAsia" w:eastAsiaTheme="minorEastAsia" w:hAnsiTheme="minorEastAsia"/>
                <w:color w:val="0D0D0D"/>
                <w:sz w:val="24"/>
              </w:rPr>
            </w:pPr>
            <w:r w:rsidRPr="006A4ECE">
              <w:rPr>
                <w:rFonts w:asciiTheme="minorEastAsia" w:eastAsiaTheme="minorEastAsia" w:hAnsiTheme="minorEastAsia" w:hint="eastAsia"/>
                <w:color w:val="0D0D0D"/>
                <w:sz w:val="24"/>
              </w:rPr>
              <w:t>存放同业利息收入</w:t>
            </w:r>
          </w:p>
        </w:tc>
        <w:tc>
          <w:tcPr>
            <w:tcW w:w="2045" w:type="dxa"/>
            <w:vAlign w:val="center"/>
          </w:tcPr>
          <w:p w:rsidR="009E68BB" w:rsidRPr="006A4ECE" w:rsidRDefault="009E68BB" w:rsidP="00063487">
            <w:pPr>
              <w:wordWrap w:val="0"/>
              <w:autoSpaceDE w:val="0"/>
              <w:autoSpaceDN w:val="0"/>
              <w:adjustRightInd w:val="0"/>
              <w:jc w:val="right"/>
              <w:rPr>
                <w:rFonts w:asciiTheme="minorEastAsia" w:eastAsiaTheme="minorEastAsia" w:hAnsiTheme="minorEastAsia"/>
                <w:bCs/>
                <w:kern w:val="0"/>
                <w:sz w:val="24"/>
              </w:rPr>
            </w:pPr>
          </w:p>
        </w:tc>
        <w:tc>
          <w:tcPr>
            <w:tcW w:w="2219" w:type="dxa"/>
          </w:tcPr>
          <w:p w:rsidR="009E68BB" w:rsidRPr="006A4ECE" w:rsidRDefault="009E68BB" w:rsidP="00063487">
            <w:pPr>
              <w:autoSpaceDE w:val="0"/>
              <w:autoSpaceDN w:val="0"/>
              <w:adjustRightInd w:val="0"/>
              <w:jc w:val="right"/>
              <w:rPr>
                <w:rFonts w:asciiTheme="minorEastAsia" w:eastAsiaTheme="minorEastAsia" w:hAnsiTheme="minorEastAsia"/>
                <w:sz w:val="24"/>
              </w:rPr>
            </w:pPr>
          </w:p>
        </w:tc>
      </w:tr>
      <w:tr w:rsidR="009E68BB" w:rsidRPr="006A4ECE" w:rsidTr="00063487">
        <w:trPr>
          <w:trHeight w:val="391"/>
          <w:jc w:val="center"/>
        </w:trPr>
        <w:tc>
          <w:tcPr>
            <w:tcW w:w="4756" w:type="dxa"/>
          </w:tcPr>
          <w:p w:rsidR="009E68BB" w:rsidRPr="006A4ECE" w:rsidRDefault="009E68BB" w:rsidP="00063487">
            <w:pPr>
              <w:rPr>
                <w:rFonts w:asciiTheme="minorEastAsia" w:eastAsiaTheme="minorEastAsia" w:hAnsiTheme="minorEastAsia"/>
                <w:color w:val="0D0D0D"/>
                <w:sz w:val="24"/>
              </w:rPr>
            </w:pPr>
            <w:r w:rsidRPr="006A4ECE">
              <w:rPr>
                <w:rFonts w:asciiTheme="minorEastAsia" w:eastAsiaTheme="minorEastAsia" w:hAnsiTheme="minorEastAsia" w:hint="eastAsia"/>
                <w:color w:val="0D0D0D"/>
                <w:sz w:val="24"/>
              </w:rPr>
              <w:t>杭州联合农村商业银行股份有限公司</w:t>
            </w:r>
          </w:p>
        </w:tc>
        <w:tc>
          <w:tcPr>
            <w:tcW w:w="2045" w:type="dxa"/>
            <w:tcMar>
              <w:right w:w="85" w:type="dxa"/>
            </w:tcMar>
            <w:vAlign w:val="center"/>
          </w:tcPr>
          <w:p w:rsidR="009E68BB" w:rsidRPr="006A4ECE" w:rsidRDefault="009E68BB" w:rsidP="00063487">
            <w:pPr>
              <w:autoSpaceDE w:val="0"/>
              <w:autoSpaceDN w:val="0"/>
              <w:adjustRightInd w:val="0"/>
              <w:jc w:val="right"/>
              <w:rPr>
                <w:rFonts w:asciiTheme="minorEastAsia" w:eastAsiaTheme="minorEastAsia" w:hAnsiTheme="minorEastAsia"/>
                <w:bCs/>
                <w:kern w:val="0"/>
                <w:sz w:val="24"/>
              </w:rPr>
            </w:pPr>
            <w:r w:rsidRPr="006A4ECE">
              <w:rPr>
                <w:rFonts w:asciiTheme="minorEastAsia" w:eastAsiaTheme="minorEastAsia" w:hAnsiTheme="minorEastAsia" w:hint="eastAsia"/>
                <w:bCs/>
                <w:kern w:val="0"/>
                <w:sz w:val="24"/>
              </w:rPr>
              <w:t>6,325,257.98</w:t>
            </w:r>
          </w:p>
        </w:tc>
        <w:tc>
          <w:tcPr>
            <w:tcW w:w="2219" w:type="dxa"/>
            <w:tcMar>
              <w:right w:w="85" w:type="dxa"/>
            </w:tcMar>
          </w:tcPr>
          <w:p w:rsidR="009E68BB" w:rsidRPr="006A4ECE" w:rsidRDefault="009E68BB" w:rsidP="00063487">
            <w:pPr>
              <w:autoSpaceDE w:val="0"/>
              <w:autoSpaceDN w:val="0"/>
              <w:adjustRightInd w:val="0"/>
              <w:jc w:val="right"/>
              <w:rPr>
                <w:rFonts w:asciiTheme="minorEastAsia" w:eastAsiaTheme="minorEastAsia" w:hAnsiTheme="minorEastAsia"/>
                <w:sz w:val="24"/>
              </w:rPr>
            </w:pPr>
            <w:r w:rsidRPr="006A4ECE">
              <w:rPr>
                <w:rFonts w:asciiTheme="minorEastAsia" w:eastAsiaTheme="minorEastAsia" w:hAnsiTheme="minorEastAsia" w:hint="eastAsia"/>
                <w:sz w:val="24"/>
              </w:rPr>
              <w:t>3,729,065.16</w:t>
            </w:r>
          </w:p>
        </w:tc>
      </w:tr>
      <w:tr w:rsidR="009E68BB" w:rsidRPr="006A4ECE" w:rsidTr="00063487">
        <w:trPr>
          <w:trHeight w:val="391"/>
          <w:jc w:val="center"/>
        </w:trPr>
        <w:tc>
          <w:tcPr>
            <w:tcW w:w="4756" w:type="dxa"/>
          </w:tcPr>
          <w:p w:rsidR="009E68BB" w:rsidRPr="006A4ECE" w:rsidRDefault="009E68BB" w:rsidP="00063487">
            <w:pPr>
              <w:rPr>
                <w:rFonts w:asciiTheme="minorEastAsia" w:eastAsiaTheme="minorEastAsia" w:hAnsiTheme="minorEastAsia"/>
                <w:color w:val="0D0D0D"/>
                <w:sz w:val="24"/>
              </w:rPr>
            </w:pPr>
            <w:r w:rsidRPr="006A4ECE">
              <w:rPr>
                <w:rFonts w:asciiTheme="minorEastAsia" w:eastAsiaTheme="minorEastAsia" w:hAnsiTheme="minorEastAsia" w:hint="eastAsia"/>
                <w:color w:val="0D0D0D"/>
                <w:sz w:val="24"/>
              </w:rPr>
              <w:t>浙江长兴联合村镇银行股份有限公司</w:t>
            </w:r>
          </w:p>
        </w:tc>
        <w:tc>
          <w:tcPr>
            <w:tcW w:w="2045" w:type="dxa"/>
            <w:tcMar>
              <w:right w:w="85" w:type="dxa"/>
            </w:tcMar>
            <w:vAlign w:val="center"/>
          </w:tcPr>
          <w:p w:rsidR="009E68BB" w:rsidRPr="006A4ECE" w:rsidRDefault="009E68BB" w:rsidP="00063487">
            <w:pPr>
              <w:autoSpaceDE w:val="0"/>
              <w:autoSpaceDN w:val="0"/>
              <w:adjustRightInd w:val="0"/>
              <w:jc w:val="right"/>
              <w:rPr>
                <w:rFonts w:asciiTheme="minorEastAsia" w:eastAsiaTheme="minorEastAsia" w:hAnsiTheme="minorEastAsia"/>
                <w:bCs/>
                <w:kern w:val="0"/>
                <w:sz w:val="24"/>
              </w:rPr>
            </w:pPr>
            <w:r w:rsidRPr="006A4ECE">
              <w:rPr>
                <w:rFonts w:asciiTheme="minorEastAsia" w:eastAsiaTheme="minorEastAsia" w:hAnsiTheme="minorEastAsia" w:hint="eastAsia"/>
                <w:bCs/>
                <w:kern w:val="0"/>
                <w:sz w:val="24"/>
              </w:rPr>
              <w:t>1,417,180.82</w:t>
            </w:r>
          </w:p>
        </w:tc>
        <w:tc>
          <w:tcPr>
            <w:tcW w:w="2219" w:type="dxa"/>
            <w:tcMar>
              <w:right w:w="85" w:type="dxa"/>
            </w:tcMar>
          </w:tcPr>
          <w:p w:rsidR="009E68BB" w:rsidRPr="006A4ECE" w:rsidRDefault="009E68BB" w:rsidP="00063487">
            <w:pPr>
              <w:autoSpaceDE w:val="0"/>
              <w:autoSpaceDN w:val="0"/>
              <w:adjustRightInd w:val="0"/>
              <w:jc w:val="right"/>
              <w:rPr>
                <w:rFonts w:asciiTheme="minorEastAsia" w:eastAsiaTheme="minorEastAsia" w:hAnsiTheme="minorEastAsia"/>
                <w:sz w:val="24"/>
              </w:rPr>
            </w:pPr>
            <w:r w:rsidRPr="006A4ECE">
              <w:rPr>
                <w:rFonts w:asciiTheme="minorEastAsia" w:eastAsiaTheme="minorEastAsia" w:hAnsiTheme="minorEastAsia"/>
                <w:sz w:val="24"/>
              </w:rPr>
              <w:t>0</w:t>
            </w:r>
          </w:p>
        </w:tc>
      </w:tr>
      <w:tr w:rsidR="009E68BB" w:rsidRPr="006A4ECE" w:rsidTr="00063487">
        <w:trPr>
          <w:trHeight w:val="391"/>
          <w:jc w:val="center"/>
        </w:trPr>
        <w:tc>
          <w:tcPr>
            <w:tcW w:w="4756" w:type="dxa"/>
          </w:tcPr>
          <w:p w:rsidR="009E68BB" w:rsidRPr="006A4ECE" w:rsidRDefault="009E68BB" w:rsidP="00063487">
            <w:pPr>
              <w:rPr>
                <w:rFonts w:asciiTheme="minorEastAsia" w:eastAsiaTheme="minorEastAsia" w:hAnsiTheme="minorEastAsia"/>
                <w:color w:val="0D0D0D"/>
                <w:sz w:val="24"/>
              </w:rPr>
            </w:pPr>
            <w:r w:rsidRPr="006A4ECE">
              <w:rPr>
                <w:rFonts w:asciiTheme="minorEastAsia" w:eastAsiaTheme="minorEastAsia" w:hAnsiTheme="minorEastAsia" w:hint="eastAsia"/>
                <w:color w:val="0D0D0D"/>
                <w:sz w:val="24"/>
              </w:rPr>
              <w:t>浙江云和联合村镇银行股份有限公司</w:t>
            </w:r>
          </w:p>
        </w:tc>
        <w:tc>
          <w:tcPr>
            <w:tcW w:w="2045" w:type="dxa"/>
            <w:tcMar>
              <w:right w:w="85" w:type="dxa"/>
            </w:tcMar>
            <w:vAlign w:val="center"/>
          </w:tcPr>
          <w:p w:rsidR="009E68BB" w:rsidRPr="006A4ECE" w:rsidRDefault="009E68BB" w:rsidP="00063487">
            <w:pPr>
              <w:autoSpaceDE w:val="0"/>
              <w:autoSpaceDN w:val="0"/>
              <w:adjustRightInd w:val="0"/>
              <w:jc w:val="right"/>
              <w:rPr>
                <w:rFonts w:asciiTheme="minorEastAsia" w:eastAsiaTheme="minorEastAsia" w:hAnsiTheme="minorEastAsia"/>
                <w:bCs/>
                <w:kern w:val="0"/>
                <w:sz w:val="24"/>
              </w:rPr>
            </w:pPr>
            <w:r w:rsidRPr="006A4ECE">
              <w:rPr>
                <w:rFonts w:asciiTheme="minorEastAsia" w:eastAsiaTheme="minorEastAsia" w:hAnsiTheme="minorEastAsia" w:hint="eastAsia"/>
                <w:bCs/>
                <w:kern w:val="0"/>
                <w:sz w:val="24"/>
              </w:rPr>
              <w:t>140,783.34</w:t>
            </w:r>
          </w:p>
        </w:tc>
        <w:tc>
          <w:tcPr>
            <w:tcW w:w="2219" w:type="dxa"/>
            <w:tcMar>
              <w:right w:w="85" w:type="dxa"/>
            </w:tcMar>
          </w:tcPr>
          <w:p w:rsidR="009E68BB" w:rsidRPr="006A4ECE" w:rsidRDefault="009E68BB" w:rsidP="00063487">
            <w:pPr>
              <w:autoSpaceDE w:val="0"/>
              <w:autoSpaceDN w:val="0"/>
              <w:adjustRightInd w:val="0"/>
              <w:jc w:val="right"/>
              <w:rPr>
                <w:rFonts w:asciiTheme="minorEastAsia" w:eastAsiaTheme="minorEastAsia" w:hAnsiTheme="minorEastAsia"/>
                <w:sz w:val="24"/>
              </w:rPr>
            </w:pPr>
          </w:p>
        </w:tc>
      </w:tr>
      <w:tr w:rsidR="009E68BB" w:rsidRPr="006A4ECE" w:rsidTr="00063487">
        <w:trPr>
          <w:trHeight w:val="391"/>
          <w:jc w:val="center"/>
        </w:trPr>
        <w:tc>
          <w:tcPr>
            <w:tcW w:w="4756" w:type="dxa"/>
          </w:tcPr>
          <w:p w:rsidR="009E68BB" w:rsidRPr="006A4ECE" w:rsidRDefault="009E68BB" w:rsidP="00063487">
            <w:pPr>
              <w:rPr>
                <w:rFonts w:asciiTheme="minorEastAsia" w:eastAsiaTheme="minorEastAsia" w:hAnsiTheme="minorEastAsia"/>
                <w:color w:val="0D0D0D"/>
                <w:sz w:val="24"/>
              </w:rPr>
            </w:pPr>
            <w:r w:rsidRPr="006A4ECE">
              <w:rPr>
                <w:rFonts w:asciiTheme="minorEastAsia" w:eastAsiaTheme="minorEastAsia" w:hAnsiTheme="minorEastAsia" w:hint="eastAsia"/>
                <w:color w:val="0D0D0D"/>
                <w:sz w:val="24"/>
              </w:rPr>
              <w:t>浙江常山联合村镇银行股份有限公司</w:t>
            </w:r>
          </w:p>
        </w:tc>
        <w:tc>
          <w:tcPr>
            <w:tcW w:w="2045" w:type="dxa"/>
            <w:tcMar>
              <w:right w:w="85" w:type="dxa"/>
            </w:tcMar>
            <w:vAlign w:val="center"/>
          </w:tcPr>
          <w:p w:rsidR="009E68BB" w:rsidRPr="006A4ECE" w:rsidRDefault="009E68BB" w:rsidP="00063487">
            <w:pPr>
              <w:autoSpaceDE w:val="0"/>
              <w:autoSpaceDN w:val="0"/>
              <w:adjustRightInd w:val="0"/>
              <w:jc w:val="right"/>
              <w:rPr>
                <w:rFonts w:asciiTheme="minorEastAsia" w:eastAsiaTheme="minorEastAsia" w:hAnsiTheme="minorEastAsia"/>
                <w:bCs/>
                <w:kern w:val="0"/>
                <w:sz w:val="24"/>
              </w:rPr>
            </w:pPr>
            <w:r w:rsidRPr="006A4ECE">
              <w:rPr>
                <w:rFonts w:asciiTheme="minorEastAsia" w:eastAsiaTheme="minorEastAsia" w:hAnsiTheme="minorEastAsia" w:hint="eastAsia"/>
                <w:bCs/>
                <w:kern w:val="0"/>
                <w:sz w:val="24"/>
              </w:rPr>
              <w:t>50,777.78</w:t>
            </w:r>
          </w:p>
        </w:tc>
        <w:tc>
          <w:tcPr>
            <w:tcW w:w="2219" w:type="dxa"/>
            <w:tcMar>
              <w:right w:w="85" w:type="dxa"/>
            </w:tcMar>
          </w:tcPr>
          <w:p w:rsidR="009E68BB" w:rsidRPr="006A4ECE" w:rsidRDefault="009E68BB" w:rsidP="00063487">
            <w:pPr>
              <w:autoSpaceDE w:val="0"/>
              <w:autoSpaceDN w:val="0"/>
              <w:adjustRightInd w:val="0"/>
              <w:jc w:val="right"/>
              <w:rPr>
                <w:rFonts w:asciiTheme="minorEastAsia" w:eastAsiaTheme="minorEastAsia" w:hAnsiTheme="minorEastAsia"/>
                <w:sz w:val="24"/>
              </w:rPr>
            </w:pPr>
            <w:r w:rsidRPr="006A4ECE">
              <w:rPr>
                <w:rFonts w:asciiTheme="minorEastAsia" w:eastAsiaTheme="minorEastAsia" w:hAnsiTheme="minorEastAsia" w:hint="eastAsia"/>
                <w:sz w:val="24"/>
              </w:rPr>
              <w:t>0</w:t>
            </w:r>
          </w:p>
        </w:tc>
      </w:tr>
      <w:tr w:rsidR="009E68BB" w:rsidRPr="006A4ECE" w:rsidTr="00063487">
        <w:trPr>
          <w:trHeight w:val="391"/>
          <w:jc w:val="center"/>
        </w:trPr>
        <w:tc>
          <w:tcPr>
            <w:tcW w:w="4756" w:type="dxa"/>
            <w:vAlign w:val="center"/>
          </w:tcPr>
          <w:p w:rsidR="009E68BB" w:rsidRPr="006A4ECE" w:rsidRDefault="009E68BB" w:rsidP="00063487">
            <w:pPr>
              <w:rPr>
                <w:rFonts w:asciiTheme="minorEastAsia" w:eastAsiaTheme="minorEastAsia" w:hAnsiTheme="minorEastAsia"/>
                <w:color w:val="0D0D0D"/>
                <w:sz w:val="24"/>
              </w:rPr>
            </w:pPr>
            <w:r w:rsidRPr="006A4ECE">
              <w:rPr>
                <w:rFonts w:asciiTheme="minorEastAsia" w:eastAsiaTheme="minorEastAsia" w:hAnsiTheme="minorEastAsia" w:hint="eastAsia"/>
                <w:color w:val="0D0D0D"/>
                <w:sz w:val="24"/>
              </w:rPr>
              <w:t>浙江义乌联合村镇银行股份有限公司</w:t>
            </w:r>
          </w:p>
        </w:tc>
        <w:tc>
          <w:tcPr>
            <w:tcW w:w="2045" w:type="dxa"/>
            <w:tcMar>
              <w:right w:w="85" w:type="dxa"/>
            </w:tcMar>
            <w:vAlign w:val="center"/>
          </w:tcPr>
          <w:p w:rsidR="009E68BB" w:rsidRPr="006A4ECE" w:rsidRDefault="009E68BB" w:rsidP="00063487">
            <w:pPr>
              <w:autoSpaceDE w:val="0"/>
              <w:autoSpaceDN w:val="0"/>
              <w:adjustRightInd w:val="0"/>
              <w:jc w:val="right"/>
              <w:rPr>
                <w:rFonts w:asciiTheme="minorEastAsia" w:eastAsiaTheme="minorEastAsia" w:hAnsiTheme="minorEastAsia"/>
                <w:bCs/>
                <w:kern w:val="0"/>
                <w:sz w:val="24"/>
              </w:rPr>
            </w:pPr>
            <w:r w:rsidRPr="006A4ECE">
              <w:rPr>
                <w:rFonts w:asciiTheme="minorEastAsia" w:eastAsiaTheme="minorEastAsia" w:hAnsiTheme="minorEastAsia" w:hint="eastAsia"/>
                <w:bCs/>
                <w:kern w:val="0"/>
                <w:sz w:val="24"/>
              </w:rPr>
              <w:t>10,755.56</w:t>
            </w:r>
          </w:p>
        </w:tc>
        <w:tc>
          <w:tcPr>
            <w:tcW w:w="2219" w:type="dxa"/>
            <w:tcMar>
              <w:right w:w="85" w:type="dxa"/>
            </w:tcMar>
          </w:tcPr>
          <w:p w:rsidR="009E68BB" w:rsidRPr="006A4ECE" w:rsidRDefault="009E68BB" w:rsidP="00063487">
            <w:pPr>
              <w:autoSpaceDE w:val="0"/>
              <w:autoSpaceDN w:val="0"/>
              <w:adjustRightInd w:val="0"/>
              <w:jc w:val="right"/>
              <w:rPr>
                <w:rFonts w:asciiTheme="minorEastAsia" w:eastAsiaTheme="minorEastAsia" w:hAnsiTheme="minorEastAsia"/>
                <w:sz w:val="24"/>
              </w:rPr>
            </w:pPr>
          </w:p>
        </w:tc>
      </w:tr>
      <w:tr w:rsidR="009E68BB" w:rsidRPr="006A4ECE" w:rsidTr="00063487">
        <w:trPr>
          <w:trHeight w:val="391"/>
          <w:jc w:val="center"/>
        </w:trPr>
        <w:tc>
          <w:tcPr>
            <w:tcW w:w="4756" w:type="dxa"/>
            <w:vAlign w:val="center"/>
          </w:tcPr>
          <w:p w:rsidR="009E68BB" w:rsidRPr="006A4ECE" w:rsidRDefault="009E68BB" w:rsidP="00063487">
            <w:pPr>
              <w:rPr>
                <w:rFonts w:asciiTheme="minorEastAsia" w:eastAsiaTheme="minorEastAsia" w:hAnsiTheme="minorEastAsia"/>
                <w:color w:val="0D0D0D"/>
                <w:sz w:val="24"/>
              </w:rPr>
            </w:pPr>
            <w:r w:rsidRPr="006A4ECE">
              <w:rPr>
                <w:rFonts w:asciiTheme="minorEastAsia" w:eastAsiaTheme="minorEastAsia" w:hAnsiTheme="minorEastAsia" w:hint="eastAsia"/>
                <w:color w:val="0D0D0D"/>
                <w:sz w:val="24"/>
              </w:rPr>
              <w:t>安徽寿县联合村镇银行股份有限公司</w:t>
            </w:r>
          </w:p>
        </w:tc>
        <w:tc>
          <w:tcPr>
            <w:tcW w:w="2045" w:type="dxa"/>
            <w:tcMar>
              <w:right w:w="85" w:type="dxa"/>
            </w:tcMar>
            <w:vAlign w:val="center"/>
          </w:tcPr>
          <w:p w:rsidR="009E68BB" w:rsidRPr="006A4ECE" w:rsidRDefault="009E68BB" w:rsidP="00063487">
            <w:pPr>
              <w:autoSpaceDE w:val="0"/>
              <w:autoSpaceDN w:val="0"/>
              <w:adjustRightInd w:val="0"/>
              <w:jc w:val="right"/>
              <w:rPr>
                <w:rFonts w:asciiTheme="minorEastAsia" w:eastAsiaTheme="minorEastAsia" w:hAnsiTheme="minorEastAsia"/>
                <w:bCs/>
                <w:kern w:val="0"/>
                <w:sz w:val="24"/>
              </w:rPr>
            </w:pPr>
            <w:r w:rsidRPr="006A4ECE">
              <w:rPr>
                <w:rFonts w:asciiTheme="minorEastAsia" w:eastAsiaTheme="minorEastAsia" w:hAnsiTheme="minorEastAsia" w:hint="eastAsia"/>
                <w:bCs/>
                <w:kern w:val="0"/>
                <w:sz w:val="24"/>
              </w:rPr>
              <w:t>126,581.11</w:t>
            </w:r>
          </w:p>
        </w:tc>
        <w:tc>
          <w:tcPr>
            <w:tcW w:w="2219" w:type="dxa"/>
            <w:tcMar>
              <w:right w:w="85" w:type="dxa"/>
            </w:tcMar>
          </w:tcPr>
          <w:p w:rsidR="009E68BB" w:rsidRPr="006A4ECE" w:rsidRDefault="009E68BB" w:rsidP="00063487">
            <w:pPr>
              <w:autoSpaceDE w:val="0"/>
              <w:autoSpaceDN w:val="0"/>
              <w:adjustRightInd w:val="0"/>
              <w:jc w:val="right"/>
              <w:rPr>
                <w:rFonts w:asciiTheme="minorEastAsia" w:eastAsiaTheme="minorEastAsia" w:hAnsiTheme="minorEastAsia"/>
                <w:sz w:val="24"/>
              </w:rPr>
            </w:pPr>
          </w:p>
        </w:tc>
      </w:tr>
      <w:tr w:rsidR="009E68BB" w:rsidRPr="006A4ECE" w:rsidTr="00063487">
        <w:trPr>
          <w:trHeight w:val="504"/>
          <w:jc w:val="center"/>
        </w:trPr>
        <w:tc>
          <w:tcPr>
            <w:tcW w:w="4756" w:type="dxa"/>
            <w:vAlign w:val="center"/>
          </w:tcPr>
          <w:p w:rsidR="009E68BB" w:rsidRPr="006A4ECE" w:rsidRDefault="009E68BB" w:rsidP="00063487">
            <w:pPr>
              <w:jc w:val="center"/>
              <w:rPr>
                <w:rFonts w:asciiTheme="minorEastAsia" w:eastAsiaTheme="minorEastAsia" w:hAnsiTheme="minorEastAsia"/>
                <w:color w:val="0D0D0D"/>
                <w:sz w:val="24"/>
              </w:rPr>
            </w:pPr>
            <w:r w:rsidRPr="006A4ECE">
              <w:rPr>
                <w:rFonts w:asciiTheme="minorEastAsia" w:eastAsiaTheme="minorEastAsia" w:hAnsiTheme="minorEastAsia" w:hint="eastAsia"/>
                <w:color w:val="0D0D0D"/>
                <w:sz w:val="24"/>
              </w:rPr>
              <w:t>小计</w:t>
            </w:r>
          </w:p>
        </w:tc>
        <w:tc>
          <w:tcPr>
            <w:tcW w:w="2045" w:type="dxa"/>
            <w:vAlign w:val="center"/>
          </w:tcPr>
          <w:p w:rsidR="009E68BB" w:rsidRPr="006A4ECE" w:rsidRDefault="009E68BB" w:rsidP="00063487">
            <w:pPr>
              <w:autoSpaceDE w:val="0"/>
              <w:autoSpaceDN w:val="0"/>
              <w:adjustRightInd w:val="0"/>
              <w:jc w:val="right"/>
              <w:rPr>
                <w:rFonts w:asciiTheme="minorEastAsia" w:eastAsiaTheme="minorEastAsia" w:hAnsiTheme="minorEastAsia"/>
                <w:bCs/>
                <w:kern w:val="0"/>
                <w:sz w:val="24"/>
              </w:rPr>
            </w:pPr>
            <w:r w:rsidRPr="006A4ECE">
              <w:rPr>
                <w:rFonts w:asciiTheme="minorEastAsia" w:eastAsiaTheme="minorEastAsia" w:hAnsiTheme="minorEastAsia" w:hint="eastAsia"/>
                <w:bCs/>
                <w:kern w:val="0"/>
                <w:sz w:val="24"/>
              </w:rPr>
              <w:t>8,071,336.59</w:t>
            </w:r>
          </w:p>
        </w:tc>
        <w:tc>
          <w:tcPr>
            <w:tcW w:w="2219" w:type="dxa"/>
            <w:vAlign w:val="center"/>
          </w:tcPr>
          <w:p w:rsidR="009E68BB" w:rsidRPr="006A4ECE" w:rsidRDefault="009E68BB" w:rsidP="00063487">
            <w:pPr>
              <w:autoSpaceDE w:val="0"/>
              <w:autoSpaceDN w:val="0"/>
              <w:adjustRightInd w:val="0"/>
              <w:jc w:val="right"/>
              <w:rPr>
                <w:rFonts w:asciiTheme="minorEastAsia" w:eastAsiaTheme="minorEastAsia" w:hAnsiTheme="minorEastAsia"/>
                <w:sz w:val="24"/>
              </w:rPr>
            </w:pPr>
            <w:r w:rsidRPr="006A4ECE">
              <w:rPr>
                <w:rFonts w:asciiTheme="minorEastAsia" w:eastAsiaTheme="minorEastAsia" w:hAnsiTheme="minorEastAsia" w:hint="eastAsia"/>
                <w:sz w:val="24"/>
              </w:rPr>
              <w:t>3,729,065.16</w:t>
            </w:r>
          </w:p>
        </w:tc>
      </w:tr>
    </w:tbl>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本期本行无会计估值变更事项。</w:t>
      </w:r>
    </w:p>
    <w:p w:rsidR="009E68BB" w:rsidRPr="006A4ECE" w:rsidRDefault="009E68BB" w:rsidP="009E68BB">
      <w:pPr>
        <w:tabs>
          <w:tab w:val="right" w:pos="7740"/>
        </w:tabs>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截止资产负债表日，本行无应披露的重大或有事项。</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截止财务报告批准报出日，本行无应披露的重大资产负债表日后非调整事项。</w:t>
      </w:r>
    </w:p>
    <w:p w:rsidR="009E68BB" w:rsidRPr="006A4ECE" w:rsidRDefault="009E68BB" w:rsidP="006A4ECE">
      <w:pPr>
        <w:tabs>
          <w:tab w:val="right" w:pos="7740"/>
        </w:tabs>
        <w:spacing w:line="560" w:lineRule="exact"/>
        <w:ind w:firstLineChars="249" w:firstLine="750"/>
        <w:rPr>
          <w:rFonts w:asciiTheme="minorEastAsia" w:eastAsiaTheme="minorEastAsia" w:hAnsiTheme="minorEastAsia"/>
          <w:b/>
          <w:color w:val="FF0000"/>
          <w:sz w:val="30"/>
          <w:szCs w:val="30"/>
        </w:rPr>
      </w:pPr>
      <w:r w:rsidRPr="006A4ECE">
        <w:rPr>
          <w:rFonts w:asciiTheme="minorEastAsia" w:eastAsiaTheme="minorEastAsia" w:hAnsiTheme="minorEastAsia" w:hint="eastAsia"/>
          <w:b/>
          <w:sz w:val="30"/>
          <w:szCs w:val="30"/>
        </w:rPr>
        <w:t>（三）资本充足情况</w:t>
      </w:r>
    </w:p>
    <w:p w:rsidR="009E68BB" w:rsidRPr="006A4ECE" w:rsidRDefault="009E68BB" w:rsidP="009E68BB">
      <w:pPr>
        <w:tabs>
          <w:tab w:val="right" w:pos="7740"/>
        </w:tabs>
        <w:spacing w:line="560" w:lineRule="exact"/>
        <w:ind w:firstLineChars="250" w:firstLine="750"/>
        <w:jc w:val="left"/>
        <w:rPr>
          <w:rFonts w:asciiTheme="minorEastAsia" w:eastAsiaTheme="minorEastAsia" w:hAnsiTheme="minorEastAsia" w:cs="Tahoma"/>
          <w:sz w:val="30"/>
          <w:szCs w:val="30"/>
        </w:rPr>
      </w:pPr>
      <w:r w:rsidRPr="006A4ECE">
        <w:rPr>
          <w:rFonts w:asciiTheme="minorEastAsia" w:eastAsiaTheme="minorEastAsia" w:hAnsiTheme="minorEastAsia" w:cs="Tahoma" w:hint="eastAsia"/>
          <w:sz w:val="30"/>
          <w:szCs w:val="30"/>
        </w:rPr>
        <w:lastRenderedPageBreak/>
        <w:t>编制单位：浙江诸暨联合村镇银行股份有限公司</w:t>
      </w:r>
    </w:p>
    <w:p w:rsidR="009E68BB" w:rsidRPr="006A4ECE" w:rsidRDefault="009E68BB" w:rsidP="009E68BB">
      <w:pPr>
        <w:tabs>
          <w:tab w:val="right" w:pos="7740"/>
        </w:tabs>
        <w:spacing w:line="560" w:lineRule="exact"/>
        <w:ind w:firstLineChars="250" w:firstLine="750"/>
        <w:jc w:val="left"/>
        <w:rPr>
          <w:rFonts w:asciiTheme="minorEastAsia" w:eastAsiaTheme="minorEastAsia" w:hAnsiTheme="minorEastAsia"/>
          <w:color w:val="FF0000"/>
          <w:sz w:val="32"/>
          <w:szCs w:val="32"/>
        </w:rPr>
      </w:pPr>
      <w:r w:rsidRPr="006A4ECE">
        <w:rPr>
          <w:rFonts w:asciiTheme="minorEastAsia" w:eastAsiaTheme="minorEastAsia" w:hAnsiTheme="minorEastAsia" w:cs="Tahoma" w:hint="eastAsia"/>
          <w:sz w:val="30"/>
          <w:szCs w:val="30"/>
        </w:rPr>
        <w:t xml:space="preserve">编制月份：2021年12月  </w:t>
      </w:r>
      <w:r w:rsidRPr="006A4ECE">
        <w:rPr>
          <w:rFonts w:asciiTheme="minorEastAsia" w:eastAsiaTheme="minorEastAsia" w:hAnsiTheme="minorEastAsia" w:hint="eastAsia"/>
          <w:sz w:val="30"/>
          <w:szCs w:val="30"/>
        </w:rPr>
        <w:t>单位：人民币万元</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9"/>
        <w:gridCol w:w="3571"/>
      </w:tblGrid>
      <w:tr w:rsidR="009E68BB" w:rsidRPr="006A4ECE" w:rsidTr="00063487">
        <w:trPr>
          <w:trHeight w:val="388"/>
        </w:trPr>
        <w:tc>
          <w:tcPr>
            <w:tcW w:w="4749"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指       标</w:t>
            </w:r>
          </w:p>
        </w:tc>
        <w:tc>
          <w:tcPr>
            <w:tcW w:w="3571"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本期数</w:t>
            </w:r>
          </w:p>
        </w:tc>
      </w:tr>
      <w:tr w:rsidR="009E68BB" w:rsidRPr="006A4ECE" w:rsidTr="00063487">
        <w:trPr>
          <w:trHeight w:val="388"/>
        </w:trPr>
        <w:tc>
          <w:tcPr>
            <w:tcW w:w="4749" w:type="dxa"/>
          </w:tcPr>
          <w:p w:rsidR="009E68BB" w:rsidRPr="006A4ECE" w:rsidRDefault="009E68BB" w:rsidP="00063487">
            <w:pPr>
              <w:ind w:firstLineChars="266" w:firstLine="638"/>
              <w:rPr>
                <w:rFonts w:asciiTheme="minorEastAsia" w:eastAsiaTheme="minorEastAsia" w:hAnsiTheme="minorEastAsia"/>
                <w:color w:val="0D0D0D"/>
                <w:sz w:val="24"/>
              </w:rPr>
            </w:pPr>
            <w:r w:rsidRPr="006A4ECE">
              <w:rPr>
                <w:rFonts w:asciiTheme="minorEastAsia" w:eastAsiaTheme="minorEastAsia" w:hAnsiTheme="minorEastAsia" w:hint="eastAsia"/>
                <w:color w:val="0D0D0D"/>
                <w:sz w:val="24"/>
              </w:rPr>
              <w:t>风险加权资产</w:t>
            </w:r>
          </w:p>
        </w:tc>
        <w:tc>
          <w:tcPr>
            <w:tcW w:w="3571" w:type="dxa"/>
          </w:tcPr>
          <w:p w:rsidR="009E68BB" w:rsidRPr="006A4ECE" w:rsidRDefault="009E68BB" w:rsidP="00063487">
            <w:pPr>
              <w:autoSpaceDE w:val="0"/>
              <w:autoSpaceDN w:val="0"/>
              <w:adjustRightInd w:val="0"/>
              <w:ind w:rightChars="292" w:right="613"/>
              <w:jc w:val="right"/>
              <w:rPr>
                <w:rFonts w:asciiTheme="minorEastAsia" w:eastAsiaTheme="minorEastAsia" w:hAnsiTheme="minorEastAsia"/>
                <w:bCs/>
                <w:kern w:val="0"/>
                <w:sz w:val="24"/>
              </w:rPr>
            </w:pPr>
            <w:r w:rsidRPr="006A4ECE">
              <w:rPr>
                <w:rFonts w:asciiTheme="minorEastAsia" w:eastAsiaTheme="minorEastAsia" w:hAnsiTheme="minorEastAsia" w:hint="eastAsia"/>
                <w:bCs/>
                <w:kern w:val="0"/>
                <w:sz w:val="24"/>
              </w:rPr>
              <w:t>266,482.83</w:t>
            </w:r>
          </w:p>
        </w:tc>
      </w:tr>
      <w:tr w:rsidR="009E68BB" w:rsidRPr="006A4ECE" w:rsidTr="00063487">
        <w:trPr>
          <w:trHeight w:val="388"/>
        </w:trPr>
        <w:tc>
          <w:tcPr>
            <w:tcW w:w="4749" w:type="dxa"/>
            <w:vAlign w:val="center"/>
          </w:tcPr>
          <w:p w:rsidR="009E68BB" w:rsidRPr="006A4ECE" w:rsidRDefault="009E68BB" w:rsidP="00063487">
            <w:pPr>
              <w:ind w:firstLineChars="266" w:firstLine="638"/>
              <w:rPr>
                <w:rFonts w:asciiTheme="minorEastAsia" w:eastAsiaTheme="minorEastAsia" w:hAnsiTheme="minorEastAsia"/>
                <w:color w:val="0D0D0D"/>
                <w:sz w:val="24"/>
              </w:rPr>
            </w:pPr>
            <w:r w:rsidRPr="006A4ECE">
              <w:rPr>
                <w:rFonts w:asciiTheme="minorEastAsia" w:eastAsiaTheme="minorEastAsia" w:hAnsiTheme="minorEastAsia" w:hint="eastAsia"/>
                <w:color w:val="0D0D0D"/>
                <w:sz w:val="24"/>
              </w:rPr>
              <w:t>核心一级资本净额</w:t>
            </w:r>
          </w:p>
        </w:tc>
        <w:tc>
          <w:tcPr>
            <w:tcW w:w="3571" w:type="dxa"/>
            <w:vAlign w:val="center"/>
          </w:tcPr>
          <w:p w:rsidR="009E68BB" w:rsidRPr="006A4ECE" w:rsidRDefault="009E68BB" w:rsidP="00063487">
            <w:pPr>
              <w:autoSpaceDE w:val="0"/>
              <w:autoSpaceDN w:val="0"/>
              <w:adjustRightInd w:val="0"/>
              <w:ind w:rightChars="292" w:right="613"/>
              <w:jc w:val="right"/>
              <w:rPr>
                <w:rFonts w:asciiTheme="minorEastAsia" w:eastAsiaTheme="minorEastAsia" w:hAnsiTheme="minorEastAsia"/>
                <w:bCs/>
                <w:kern w:val="0"/>
                <w:sz w:val="24"/>
              </w:rPr>
            </w:pPr>
            <w:r w:rsidRPr="006A4ECE">
              <w:rPr>
                <w:rFonts w:asciiTheme="minorEastAsia" w:eastAsiaTheme="minorEastAsia" w:hAnsiTheme="minorEastAsia" w:hint="eastAsia"/>
                <w:bCs/>
                <w:kern w:val="0"/>
                <w:sz w:val="24"/>
              </w:rPr>
              <w:t>40,046.69</w:t>
            </w:r>
          </w:p>
        </w:tc>
      </w:tr>
      <w:tr w:rsidR="009E68BB" w:rsidRPr="006A4ECE" w:rsidTr="00063487">
        <w:trPr>
          <w:trHeight w:val="388"/>
        </w:trPr>
        <w:tc>
          <w:tcPr>
            <w:tcW w:w="4749" w:type="dxa"/>
            <w:vAlign w:val="center"/>
          </w:tcPr>
          <w:p w:rsidR="009E68BB" w:rsidRPr="006A4ECE" w:rsidRDefault="009E68BB" w:rsidP="00063487">
            <w:pPr>
              <w:ind w:firstLineChars="266" w:firstLine="638"/>
              <w:rPr>
                <w:rFonts w:asciiTheme="minorEastAsia" w:eastAsiaTheme="minorEastAsia" w:hAnsiTheme="minorEastAsia"/>
                <w:color w:val="0D0D0D"/>
                <w:sz w:val="24"/>
              </w:rPr>
            </w:pPr>
            <w:r w:rsidRPr="006A4ECE">
              <w:rPr>
                <w:rFonts w:asciiTheme="minorEastAsia" w:eastAsiaTheme="minorEastAsia" w:hAnsiTheme="minorEastAsia" w:hint="eastAsia"/>
                <w:color w:val="0D0D0D"/>
                <w:sz w:val="24"/>
              </w:rPr>
              <w:t>一级资本净额</w:t>
            </w:r>
          </w:p>
        </w:tc>
        <w:tc>
          <w:tcPr>
            <w:tcW w:w="3571" w:type="dxa"/>
            <w:vAlign w:val="center"/>
          </w:tcPr>
          <w:p w:rsidR="009E68BB" w:rsidRPr="006A4ECE" w:rsidRDefault="009E68BB" w:rsidP="00063487">
            <w:pPr>
              <w:autoSpaceDE w:val="0"/>
              <w:autoSpaceDN w:val="0"/>
              <w:adjustRightInd w:val="0"/>
              <w:ind w:rightChars="292" w:right="613"/>
              <w:jc w:val="right"/>
              <w:rPr>
                <w:rFonts w:asciiTheme="minorEastAsia" w:eastAsiaTheme="minorEastAsia" w:hAnsiTheme="minorEastAsia"/>
                <w:bCs/>
                <w:kern w:val="0"/>
                <w:sz w:val="24"/>
              </w:rPr>
            </w:pPr>
            <w:r w:rsidRPr="006A4ECE">
              <w:rPr>
                <w:rFonts w:asciiTheme="minorEastAsia" w:eastAsiaTheme="minorEastAsia" w:hAnsiTheme="minorEastAsia" w:hint="eastAsia"/>
                <w:bCs/>
                <w:kern w:val="0"/>
                <w:sz w:val="24"/>
              </w:rPr>
              <w:t>40,046.69</w:t>
            </w:r>
          </w:p>
        </w:tc>
      </w:tr>
      <w:tr w:rsidR="009E68BB" w:rsidRPr="006A4ECE" w:rsidTr="00063487">
        <w:trPr>
          <w:trHeight w:val="388"/>
        </w:trPr>
        <w:tc>
          <w:tcPr>
            <w:tcW w:w="4749" w:type="dxa"/>
            <w:vAlign w:val="center"/>
          </w:tcPr>
          <w:p w:rsidR="009E68BB" w:rsidRPr="006A4ECE" w:rsidRDefault="009E68BB" w:rsidP="00063487">
            <w:pPr>
              <w:ind w:firstLineChars="266" w:firstLine="638"/>
              <w:rPr>
                <w:rFonts w:asciiTheme="minorEastAsia" w:eastAsiaTheme="minorEastAsia" w:hAnsiTheme="minorEastAsia"/>
                <w:color w:val="0D0D0D"/>
                <w:sz w:val="24"/>
              </w:rPr>
            </w:pPr>
            <w:r w:rsidRPr="006A4ECE">
              <w:rPr>
                <w:rFonts w:asciiTheme="minorEastAsia" w:eastAsiaTheme="minorEastAsia" w:hAnsiTheme="minorEastAsia" w:hint="eastAsia"/>
                <w:color w:val="0D0D0D"/>
                <w:sz w:val="24"/>
              </w:rPr>
              <w:t>总资本净额</w:t>
            </w:r>
          </w:p>
        </w:tc>
        <w:tc>
          <w:tcPr>
            <w:tcW w:w="3571" w:type="dxa"/>
            <w:vAlign w:val="center"/>
          </w:tcPr>
          <w:p w:rsidR="009E68BB" w:rsidRPr="006A4ECE" w:rsidRDefault="009E68BB" w:rsidP="00063487">
            <w:pPr>
              <w:autoSpaceDE w:val="0"/>
              <w:autoSpaceDN w:val="0"/>
              <w:adjustRightInd w:val="0"/>
              <w:ind w:rightChars="292" w:right="613"/>
              <w:jc w:val="right"/>
              <w:rPr>
                <w:rFonts w:asciiTheme="minorEastAsia" w:eastAsiaTheme="minorEastAsia" w:hAnsiTheme="minorEastAsia"/>
                <w:bCs/>
                <w:kern w:val="0"/>
                <w:sz w:val="24"/>
              </w:rPr>
            </w:pPr>
            <w:r w:rsidRPr="006A4ECE">
              <w:rPr>
                <w:rFonts w:asciiTheme="minorEastAsia" w:eastAsiaTheme="minorEastAsia" w:hAnsiTheme="minorEastAsia" w:hint="eastAsia"/>
                <w:bCs/>
                <w:kern w:val="0"/>
                <w:sz w:val="24"/>
              </w:rPr>
              <w:t>43,064.26</w:t>
            </w:r>
          </w:p>
        </w:tc>
      </w:tr>
      <w:tr w:rsidR="009E68BB" w:rsidRPr="006A4ECE" w:rsidTr="00063487">
        <w:trPr>
          <w:trHeight w:val="388"/>
        </w:trPr>
        <w:tc>
          <w:tcPr>
            <w:tcW w:w="4749" w:type="dxa"/>
          </w:tcPr>
          <w:p w:rsidR="009E68BB" w:rsidRPr="006A4ECE" w:rsidRDefault="009E68BB" w:rsidP="00063487">
            <w:pPr>
              <w:ind w:firstLineChars="266" w:firstLine="638"/>
              <w:rPr>
                <w:rFonts w:asciiTheme="minorEastAsia" w:eastAsiaTheme="minorEastAsia" w:hAnsiTheme="minorEastAsia"/>
                <w:color w:val="0D0D0D"/>
                <w:sz w:val="24"/>
              </w:rPr>
            </w:pPr>
            <w:r w:rsidRPr="006A4ECE">
              <w:rPr>
                <w:rFonts w:asciiTheme="minorEastAsia" w:eastAsiaTheme="minorEastAsia" w:hAnsiTheme="minorEastAsia" w:hint="eastAsia"/>
                <w:color w:val="0D0D0D"/>
                <w:sz w:val="24"/>
              </w:rPr>
              <w:t>核心一级资本充足率</w:t>
            </w:r>
          </w:p>
        </w:tc>
        <w:tc>
          <w:tcPr>
            <w:tcW w:w="3571" w:type="dxa"/>
            <w:vAlign w:val="center"/>
          </w:tcPr>
          <w:p w:rsidR="009E68BB" w:rsidRPr="006A4ECE" w:rsidRDefault="009E68BB" w:rsidP="00063487">
            <w:pPr>
              <w:autoSpaceDE w:val="0"/>
              <w:autoSpaceDN w:val="0"/>
              <w:adjustRightInd w:val="0"/>
              <w:ind w:rightChars="292" w:right="613"/>
              <w:jc w:val="right"/>
              <w:rPr>
                <w:rFonts w:asciiTheme="minorEastAsia" w:eastAsiaTheme="minorEastAsia" w:hAnsiTheme="minorEastAsia"/>
                <w:bCs/>
                <w:kern w:val="0"/>
                <w:sz w:val="24"/>
              </w:rPr>
            </w:pPr>
            <w:r w:rsidRPr="006A4ECE">
              <w:rPr>
                <w:rFonts w:asciiTheme="minorEastAsia" w:eastAsiaTheme="minorEastAsia" w:hAnsiTheme="minorEastAsia" w:hint="eastAsia"/>
                <w:bCs/>
                <w:kern w:val="0"/>
                <w:sz w:val="24"/>
              </w:rPr>
              <w:t>15.03%</w:t>
            </w:r>
          </w:p>
        </w:tc>
      </w:tr>
      <w:tr w:rsidR="009E68BB" w:rsidRPr="006A4ECE" w:rsidTr="00063487">
        <w:trPr>
          <w:trHeight w:val="400"/>
        </w:trPr>
        <w:tc>
          <w:tcPr>
            <w:tcW w:w="4749" w:type="dxa"/>
          </w:tcPr>
          <w:p w:rsidR="009E68BB" w:rsidRPr="006A4ECE" w:rsidRDefault="009E68BB" w:rsidP="00063487">
            <w:pPr>
              <w:ind w:firstLineChars="266" w:firstLine="638"/>
              <w:rPr>
                <w:rFonts w:asciiTheme="minorEastAsia" w:eastAsiaTheme="minorEastAsia" w:hAnsiTheme="minorEastAsia"/>
                <w:color w:val="0D0D0D"/>
                <w:sz w:val="24"/>
              </w:rPr>
            </w:pPr>
            <w:r w:rsidRPr="006A4ECE">
              <w:rPr>
                <w:rFonts w:asciiTheme="minorEastAsia" w:eastAsiaTheme="minorEastAsia" w:hAnsiTheme="minorEastAsia" w:hint="eastAsia"/>
                <w:color w:val="0D0D0D"/>
                <w:sz w:val="24"/>
              </w:rPr>
              <w:t>一级资本充足率</w:t>
            </w:r>
          </w:p>
        </w:tc>
        <w:tc>
          <w:tcPr>
            <w:tcW w:w="3571" w:type="dxa"/>
            <w:vAlign w:val="center"/>
          </w:tcPr>
          <w:p w:rsidR="009E68BB" w:rsidRPr="006A4ECE" w:rsidRDefault="009E68BB" w:rsidP="00063487">
            <w:pPr>
              <w:autoSpaceDE w:val="0"/>
              <w:autoSpaceDN w:val="0"/>
              <w:adjustRightInd w:val="0"/>
              <w:ind w:rightChars="292" w:right="613"/>
              <w:jc w:val="right"/>
              <w:rPr>
                <w:rFonts w:asciiTheme="minorEastAsia" w:eastAsiaTheme="minorEastAsia" w:hAnsiTheme="minorEastAsia"/>
                <w:bCs/>
                <w:kern w:val="0"/>
                <w:sz w:val="24"/>
              </w:rPr>
            </w:pPr>
            <w:r w:rsidRPr="006A4ECE">
              <w:rPr>
                <w:rFonts w:asciiTheme="minorEastAsia" w:eastAsiaTheme="minorEastAsia" w:hAnsiTheme="minorEastAsia" w:hint="eastAsia"/>
                <w:bCs/>
                <w:kern w:val="0"/>
                <w:sz w:val="24"/>
              </w:rPr>
              <w:t>15.03%</w:t>
            </w:r>
          </w:p>
        </w:tc>
      </w:tr>
    </w:tbl>
    <w:p w:rsidR="009E68BB" w:rsidRPr="006A4ECE" w:rsidRDefault="009E68BB" w:rsidP="006A4ECE">
      <w:pPr>
        <w:tabs>
          <w:tab w:val="right" w:pos="7740"/>
        </w:tabs>
        <w:spacing w:line="560" w:lineRule="exact"/>
        <w:ind w:firstLineChars="200" w:firstLine="602"/>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（四）财务情况说明</w:t>
      </w:r>
    </w:p>
    <w:p w:rsidR="009E68BB" w:rsidRPr="006A4ECE" w:rsidRDefault="009E68BB" w:rsidP="009E68BB">
      <w:pPr>
        <w:widowControl/>
        <w:spacing w:line="560" w:lineRule="exact"/>
        <w:ind w:firstLineChars="200" w:firstLine="600"/>
        <w:rPr>
          <w:rFonts w:asciiTheme="minorEastAsia" w:eastAsiaTheme="minorEastAsia" w:hAnsiTheme="minorEastAsia"/>
          <w:color w:val="000000"/>
          <w:sz w:val="30"/>
          <w:szCs w:val="30"/>
        </w:rPr>
      </w:pPr>
      <w:r w:rsidRPr="006A4ECE">
        <w:rPr>
          <w:rFonts w:asciiTheme="minorEastAsia" w:eastAsiaTheme="minorEastAsia" w:hAnsiTheme="minorEastAsia" w:hint="eastAsia"/>
          <w:color w:val="000000"/>
          <w:sz w:val="30"/>
          <w:szCs w:val="30"/>
        </w:rPr>
        <w:t>截至2021年12月，本行各项存款余额</w:t>
      </w:r>
      <w:r w:rsidRPr="006A4ECE">
        <w:rPr>
          <w:rFonts w:asciiTheme="minorEastAsia" w:eastAsiaTheme="minorEastAsia" w:hAnsiTheme="minorEastAsia" w:cs="FZLTXHK" w:hint="eastAsia"/>
          <w:kern w:val="0"/>
          <w:sz w:val="30"/>
          <w:szCs w:val="30"/>
        </w:rPr>
        <w:t>243113.48</w:t>
      </w:r>
      <w:r w:rsidRPr="006A4ECE">
        <w:rPr>
          <w:rFonts w:asciiTheme="minorEastAsia" w:eastAsiaTheme="minorEastAsia" w:hAnsiTheme="minorEastAsia" w:hint="eastAsia"/>
          <w:color w:val="000000"/>
          <w:sz w:val="30"/>
          <w:szCs w:val="30"/>
        </w:rPr>
        <w:t>万元，比年初增长</w:t>
      </w:r>
      <w:r w:rsidRPr="006A4ECE">
        <w:rPr>
          <w:rFonts w:asciiTheme="minorEastAsia" w:eastAsiaTheme="minorEastAsia" w:hAnsiTheme="minorEastAsia" w:hint="eastAsia"/>
          <w:sz w:val="30"/>
          <w:szCs w:val="30"/>
        </w:rPr>
        <w:t>6.62%</w:t>
      </w:r>
      <w:r w:rsidRPr="006A4ECE">
        <w:rPr>
          <w:rFonts w:asciiTheme="minorEastAsia" w:eastAsiaTheme="minorEastAsia" w:hAnsiTheme="minorEastAsia" w:hint="eastAsia"/>
          <w:color w:val="000000"/>
          <w:sz w:val="30"/>
          <w:szCs w:val="30"/>
        </w:rPr>
        <w:t>；贷款余额为</w:t>
      </w:r>
      <w:r w:rsidRPr="006A4ECE">
        <w:rPr>
          <w:rFonts w:asciiTheme="minorEastAsia" w:eastAsiaTheme="minorEastAsia" w:hAnsiTheme="minorEastAsia" w:hint="eastAsia"/>
          <w:sz w:val="30"/>
          <w:szCs w:val="30"/>
        </w:rPr>
        <w:t>307980.04</w:t>
      </w:r>
      <w:r w:rsidRPr="006A4ECE">
        <w:rPr>
          <w:rFonts w:asciiTheme="minorEastAsia" w:eastAsiaTheme="minorEastAsia" w:hAnsiTheme="minorEastAsia" w:hint="eastAsia"/>
          <w:color w:val="000000"/>
          <w:sz w:val="30"/>
          <w:szCs w:val="30"/>
        </w:rPr>
        <w:t>万元，较年初增长</w:t>
      </w:r>
      <w:r w:rsidRPr="006A4ECE">
        <w:rPr>
          <w:rFonts w:asciiTheme="minorEastAsia" w:eastAsiaTheme="minorEastAsia" w:hAnsiTheme="minorEastAsia" w:hint="eastAsia"/>
          <w:sz w:val="30"/>
          <w:szCs w:val="30"/>
        </w:rPr>
        <w:t>7.47%</w:t>
      </w:r>
      <w:r w:rsidRPr="006A4ECE">
        <w:rPr>
          <w:rFonts w:asciiTheme="minorEastAsia" w:eastAsiaTheme="minorEastAsia" w:hAnsiTheme="minorEastAsia" w:hint="eastAsia"/>
          <w:color w:val="000000"/>
          <w:sz w:val="30"/>
          <w:szCs w:val="30"/>
        </w:rPr>
        <w:t>；资产总额达</w:t>
      </w:r>
      <w:r w:rsidRPr="006A4ECE">
        <w:rPr>
          <w:rFonts w:asciiTheme="minorEastAsia" w:eastAsiaTheme="minorEastAsia" w:hAnsiTheme="minorEastAsia" w:cs="FZLTXHK" w:hint="eastAsia"/>
          <w:kern w:val="0"/>
          <w:sz w:val="30"/>
          <w:szCs w:val="30"/>
        </w:rPr>
        <w:t>356500.30</w:t>
      </w:r>
      <w:r w:rsidRPr="006A4ECE">
        <w:rPr>
          <w:rFonts w:asciiTheme="minorEastAsia" w:eastAsiaTheme="minorEastAsia" w:hAnsiTheme="minorEastAsia" w:hint="eastAsia"/>
          <w:color w:val="000000"/>
          <w:sz w:val="30"/>
          <w:szCs w:val="30"/>
        </w:rPr>
        <w:t>万元，同比增长</w:t>
      </w:r>
      <w:r w:rsidRPr="006A4ECE">
        <w:rPr>
          <w:rFonts w:asciiTheme="minorEastAsia" w:eastAsiaTheme="minorEastAsia" w:hAnsiTheme="minorEastAsia" w:cs="FZLTXHK" w:hint="eastAsia"/>
          <w:kern w:val="0"/>
          <w:sz w:val="30"/>
          <w:szCs w:val="30"/>
        </w:rPr>
        <w:t>1.4%</w:t>
      </w:r>
      <w:r w:rsidRPr="006A4ECE">
        <w:rPr>
          <w:rFonts w:asciiTheme="minorEastAsia" w:eastAsiaTheme="minorEastAsia" w:hAnsiTheme="minorEastAsia" w:hint="eastAsia"/>
          <w:color w:val="000000"/>
          <w:sz w:val="30"/>
          <w:szCs w:val="30"/>
        </w:rPr>
        <w:t>。全年实现营业收入及营业外收入</w:t>
      </w:r>
      <w:r w:rsidRPr="006A4ECE">
        <w:rPr>
          <w:rFonts w:asciiTheme="minorEastAsia" w:eastAsiaTheme="minorEastAsia" w:hAnsiTheme="minorEastAsia" w:cs="FZLTXHK" w:hint="eastAsia"/>
          <w:kern w:val="0"/>
          <w:sz w:val="30"/>
          <w:szCs w:val="30"/>
        </w:rPr>
        <w:t>15616.84</w:t>
      </w:r>
      <w:r w:rsidRPr="006A4ECE">
        <w:rPr>
          <w:rFonts w:asciiTheme="minorEastAsia" w:eastAsiaTheme="minorEastAsia" w:hAnsiTheme="minorEastAsia" w:hint="eastAsia"/>
          <w:color w:val="000000"/>
          <w:sz w:val="30"/>
          <w:szCs w:val="30"/>
        </w:rPr>
        <w:t>万元，截至2021年12月，实现利息收入</w:t>
      </w:r>
      <w:r w:rsidRPr="006A4ECE">
        <w:rPr>
          <w:rFonts w:asciiTheme="minorEastAsia" w:eastAsiaTheme="minorEastAsia" w:hAnsiTheme="minorEastAsia" w:cs="FZLTXHK" w:hint="eastAsia"/>
          <w:kern w:val="0"/>
          <w:sz w:val="30"/>
          <w:szCs w:val="30"/>
        </w:rPr>
        <w:t>22653.97</w:t>
      </w:r>
      <w:r w:rsidRPr="006A4ECE">
        <w:rPr>
          <w:rFonts w:asciiTheme="minorEastAsia" w:eastAsiaTheme="minorEastAsia" w:hAnsiTheme="minorEastAsia" w:hint="eastAsia"/>
          <w:color w:val="000000"/>
          <w:sz w:val="30"/>
          <w:szCs w:val="30"/>
        </w:rPr>
        <w:t>万元。截至2021年12月，本行营业支出总计</w:t>
      </w:r>
      <w:r w:rsidRPr="006A4ECE">
        <w:rPr>
          <w:rFonts w:asciiTheme="minorEastAsia" w:eastAsiaTheme="minorEastAsia" w:hAnsiTheme="minorEastAsia" w:cs="FZLTXHK" w:hint="eastAsia"/>
          <w:kern w:val="0"/>
          <w:sz w:val="30"/>
          <w:szCs w:val="30"/>
        </w:rPr>
        <w:t>6918.35</w:t>
      </w:r>
      <w:r w:rsidRPr="006A4ECE">
        <w:rPr>
          <w:rFonts w:asciiTheme="minorEastAsia" w:eastAsiaTheme="minorEastAsia" w:hAnsiTheme="minorEastAsia" w:hint="eastAsia"/>
          <w:color w:val="000000"/>
          <w:sz w:val="30"/>
          <w:szCs w:val="30"/>
        </w:rPr>
        <w:t>万元，其中业务及管理费6370.67万元，营业税金及附加47.68万元，资产减值损失500万元;截至2021年12月末贷款减值准备余额</w:t>
      </w:r>
      <w:r w:rsidRPr="006A4ECE">
        <w:rPr>
          <w:rFonts w:asciiTheme="minorEastAsia" w:eastAsiaTheme="minorEastAsia" w:hAnsiTheme="minorEastAsia" w:hint="eastAsia"/>
          <w:sz w:val="30"/>
          <w:szCs w:val="30"/>
        </w:rPr>
        <w:t>11879.41</w:t>
      </w:r>
      <w:r w:rsidRPr="006A4ECE">
        <w:rPr>
          <w:rFonts w:asciiTheme="minorEastAsia" w:eastAsiaTheme="minorEastAsia" w:hAnsiTheme="minorEastAsia" w:hint="eastAsia"/>
          <w:color w:val="000000"/>
          <w:sz w:val="30"/>
          <w:szCs w:val="30"/>
        </w:rPr>
        <w:t>万元。2021年所得税费用2162.19万元，审计后净利润为6473.75万元，一般风险准备4826.70万元，盈余公积1911.30万元。2021年度本行核心资本充足率为15.03%，资本充足率为16.16%。根据公司章程，本行2021年度拟进行利润分配。</w:t>
      </w:r>
    </w:p>
    <w:p w:rsidR="009E68BB" w:rsidRPr="006A4ECE" w:rsidRDefault="009E68BB" w:rsidP="006A4ECE">
      <w:pPr>
        <w:spacing w:line="560" w:lineRule="exact"/>
        <w:ind w:firstLineChars="198" w:firstLine="596"/>
        <w:jc w:val="left"/>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三、公司治理情况</w:t>
      </w:r>
    </w:p>
    <w:p w:rsidR="009E68BB" w:rsidRPr="006A4ECE" w:rsidRDefault="009E68BB" w:rsidP="006A4ECE">
      <w:pPr>
        <w:spacing w:line="560" w:lineRule="exact"/>
        <w:ind w:firstLineChars="198" w:firstLine="596"/>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（一）董事会成员基本情况</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本行董事会由5名成员组成，列表如下：</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1"/>
        <w:gridCol w:w="4779"/>
        <w:gridCol w:w="2050"/>
      </w:tblGrid>
      <w:tr w:rsidR="009E68BB" w:rsidRPr="006A4ECE" w:rsidTr="00063487">
        <w:trPr>
          <w:trHeight w:val="351"/>
          <w:jc w:val="center"/>
        </w:trPr>
        <w:tc>
          <w:tcPr>
            <w:tcW w:w="1911"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姓  名</w:t>
            </w:r>
          </w:p>
        </w:tc>
        <w:tc>
          <w:tcPr>
            <w:tcW w:w="4779"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工作单位</w:t>
            </w:r>
          </w:p>
        </w:tc>
        <w:tc>
          <w:tcPr>
            <w:tcW w:w="2050"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职  务</w:t>
            </w:r>
          </w:p>
        </w:tc>
      </w:tr>
      <w:tr w:rsidR="009E68BB" w:rsidRPr="006A4ECE" w:rsidTr="00063487">
        <w:trPr>
          <w:trHeight w:val="462"/>
          <w:jc w:val="center"/>
        </w:trPr>
        <w:tc>
          <w:tcPr>
            <w:tcW w:w="1911"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俞国荣</w:t>
            </w:r>
          </w:p>
        </w:tc>
        <w:tc>
          <w:tcPr>
            <w:tcW w:w="4779" w:type="dxa"/>
            <w:vAlign w:val="center"/>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浙江诸暨联合村镇银行股份有限公司</w:t>
            </w:r>
          </w:p>
        </w:tc>
        <w:tc>
          <w:tcPr>
            <w:tcW w:w="2050"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董事长</w:t>
            </w:r>
          </w:p>
        </w:tc>
      </w:tr>
      <w:tr w:rsidR="009E68BB" w:rsidRPr="006A4ECE" w:rsidTr="00063487">
        <w:trPr>
          <w:trHeight w:val="454"/>
          <w:jc w:val="center"/>
        </w:trPr>
        <w:tc>
          <w:tcPr>
            <w:tcW w:w="1911"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lastRenderedPageBreak/>
              <w:t>洪冬英</w:t>
            </w:r>
          </w:p>
        </w:tc>
        <w:tc>
          <w:tcPr>
            <w:tcW w:w="4779" w:type="dxa"/>
            <w:vAlign w:val="center"/>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丹吉娅集团有限公司</w:t>
            </w:r>
          </w:p>
        </w:tc>
        <w:tc>
          <w:tcPr>
            <w:tcW w:w="2050"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董事</w:t>
            </w:r>
          </w:p>
        </w:tc>
      </w:tr>
      <w:tr w:rsidR="009E68BB" w:rsidRPr="006A4ECE" w:rsidTr="00063487">
        <w:trPr>
          <w:trHeight w:val="475"/>
          <w:jc w:val="center"/>
        </w:trPr>
        <w:tc>
          <w:tcPr>
            <w:tcW w:w="1911"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陈照米</w:t>
            </w:r>
          </w:p>
        </w:tc>
        <w:tc>
          <w:tcPr>
            <w:tcW w:w="4779" w:type="dxa"/>
            <w:vAlign w:val="center"/>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众圣集团有限公司</w:t>
            </w:r>
          </w:p>
        </w:tc>
        <w:tc>
          <w:tcPr>
            <w:tcW w:w="2050"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董事</w:t>
            </w:r>
          </w:p>
        </w:tc>
      </w:tr>
      <w:tr w:rsidR="009E68BB" w:rsidRPr="006A4ECE" w:rsidTr="00063487">
        <w:trPr>
          <w:trHeight w:val="467"/>
          <w:jc w:val="center"/>
        </w:trPr>
        <w:tc>
          <w:tcPr>
            <w:tcW w:w="1911"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马跃良</w:t>
            </w:r>
          </w:p>
        </w:tc>
        <w:tc>
          <w:tcPr>
            <w:tcW w:w="4779" w:type="dxa"/>
            <w:vAlign w:val="center"/>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杭州金马轴承材料有限公司</w:t>
            </w:r>
          </w:p>
        </w:tc>
        <w:tc>
          <w:tcPr>
            <w:tcW w:w="2050"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董事</w:t>
            </w:r>
          </w:p>
        </w:tc>
      </w:tr>
      <w:tr w:rsidR="009E68BB" w:rsidRPr="006A4ECE" w:rsidTr="00063487">
        <w:trPr>
          <w:trHeight w:val="469"/>
          <w:jc w:val="center"/>
        </w:trPr>
        <w:tc>
          <w:tcPr>
            <w:tcW w:w="1911"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谢智威</w:t>
            </w:r>
          </w:p>
        </w:tc>
        <w:tc>
          <w:tcPr>
            <w:tcW w:w="4779" w:type="dxa"/>
            <w:vAlign w:val="center"/>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浙江诸暨联合村镇银行股份有限公司</w:t>
            </w:r>
          </w:p>
        </w:tc>
        <w:tc>
          <w:tcPr>
            <w:tcW w:w="2050"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董事</w:t>
            </w:r>
          </w:p>
        </w:tc>
      </w:tr>
    </w:tbl>
    <w:p w:rsidR="009E68BB" w:rsidRPr="006A4ECE" w:rsidRDefault="009E68BB" w:rsidP="006A4ECE">
      <w:pPr>
        <w:spacing w:line="560" w:lineRule="exact"/>
        <w:ind w:firstLineChars="250" w:firstLine="803"/>
        <w:rPr>
          <w:rFonts w:asciiTheme="minorEastAsia" w:eastAsiaTheme="minorEastAsia" w:hAnsiTheme="minorEastAsia"/>
          <w:sz w:val="32"/>
          <w:szCs w:val="32"/>
        </w:rPr>
      </w:pPr>
      <w:r w:rsidRPr="006A4ECE">
        <w:rPr>
          <w:rFonts w:asciiTheme="minorEastAsia" w:eastAsiaTheme="minorEastAsia" w:hAnsiTheme="minorEastAsia" w:hint="eastAsia"/>
          <w:b/>
          <w:sz w:val="32"/>
          <w:szCs w:val="32"/>
        </w:rPr>
        <w:t>（二）监事会成员基本情况</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5"/>
        <w:gridCol w:w="4704"/>
        <w:gridCol w:w="2041"/>
      </w:tblGrid>
      <w:tr w:rsidR="009E68BB" w:rsidRPr="006A4ECE" w:rsidTr="00063487">
        <w:trPr>
          <w:trHeight w:val="483"/>
          <w:jc w:val="center"/>
        </w:trPr>
        <w:tc>
          <w:tcPr>
            <w:tcW w:w="1935"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姓  名</w:t>
            </w:r>
          </w:p>
        </w:tc>
        <w:tc>
          <w:tcPr>
            <w:tcW w:w="4704"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工作单位</w:t>
            </w:r>
          </w:p>
        </w:tc>
        <w:tc>
          <w:tcPr>
            <w:tcW w:w="2041"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职  务</w:t>
            </w:r>
          </w:p>
        </w:tc>
      </w:tr>
      <w:tr w:rsidR="009E68BB" w:rsidRPr="006A4ECE" w:rsidTr="00063487">
        <w:trPr>
          <w:trHeight w:val="506"/>
          <w:jc w:val="center"/>
        </w:trPr>
        <w:tc>
          <w:tcPr>
            <w:tcW w:w="1935"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魏国顺</w:t>
            </w:r>
          </w:p>
        </w:tc>
        <w:tc>
          <w:tcPr>
            <w:tcW w:w="4704" w:type="dxa"/>
            <w:vAlign w:val="center"/>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杭州联合农村商业银行股份有限公司</w:t>
            </w:r>
          </w:p>
        </w:tc>
        <w:tc>
          <w:tcPr>
            <w:tcW w:w="2041"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监事长</w:t>
            </w:r>
          </w:p>
        </w:tc>
      </w:tr>
      <w:tr w:rsidR="009E68BB" w:rsidRPr="006A4ECE" w:rsidTr="00063487">
        <w:trPr>
          <w:trHeight w:val="481"/>
          <w:jc w:val="center"/>
        </w:trPr>
        <w:tc>
          <w:tcPr>
            <w:tcW w:w="1935"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赵海光</w:t>
            </w:r>
          </w:p>
        </w:tc>
        <w:tc>
          <w:tcPr>
            <w:tcW w:w="4704" w:type="dxa"/>
            <w:vAlign w:val="center"/>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天铭嘉业文化传媒投资有限公司</w:t>
            </w:r>
          </w:p>
        </w:tc>
        <w:tc>
          <w:tcPr>
            <w:tcW w:w="2041"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监事</w:t>
            </w:r>
          </w:p>
        </w:tc>
      </w:tr>
      <w:tr w:rsidR="009E68BB" w:rsidRPr="006A4ECE" w:rsidTr="00063487">
        <w:trPr>
          <w:trHeight w:val="488"/>
          <w:jc w:val="center"/>
        </w:trPr>
        <w:tc>
          <w:tcPr>
            <w:tcW w:w="1935"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王楚男</w:t>
            </w:r>
          </w:p>
        </w:tc>
        <w:tc>
          <w:tcPr>
            <w:tcW w:w="4704" w:type="dxa"/>
            <w:vAlign w:val="center"/>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浙江茂阳农发集团有限公司</w:t>
            </w:r>
          </w:p>
        </w:tc>
        <w:tc>
          <w:tcPr>
            <w:tcW w:w="2041"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监事</w:t>
            </w:r>
          </w:p>
        </w:tc>
      </w:tr>
      <w:tr w:rsidR="009E68BB" w:rsidRPr="006A4ECE" w:rsidTr="00063487">
        <w:trPr>
          <w:trHeight w:val="495"/>
          <w:jc w:val="center"/>
        </w:trPr>
        <w:tc>
          <w:tcPr>
            <w:tcW w:w="1935"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陈观峰</w:t>
            </w:r>
          </w:p>
        </w:tc>
        <w:tc>
          <w:tcPr>
            <w:tcW w:w="4704" w:type="dxa"/>
            <w:vAlign w:val="center"/>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三峰实业有限公司</w:t>
            </w:r>
          </w:p>
        </w:tc>
        <w:tc>
          <w:tcPr>
            <w:tcW w:w="2041"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监事</w:t>
            </w:r>
          </w:p>
        </w:tc>
      </w:tr>
      <w:tr w:rsidR="009E68BB" w:rsidRPr="006A4ECE" w:rsidTr="00063487">
        <w:trPr>
          <w:trHeight w:val="497"/>
          <w:jc w:val="center"/>
        </w:trPr>
        <w:tc>
          <w:tcPr>
            <w:tcW w:w="1935"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方淑平</w:t>
            </w:r>
          </w:p>
        </w:tc>
        <w:tc>
          <w:tcPr>
            <w:tcW w:w="4704" w:type="dxa"/>
            <w:vAlign w:val="center"/>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浙江诸暨联合村镇银行股份有限公司</w:t>
            </w:r>
          </w:p>
        </w:tc>
        <w:tc>
          <w:tcPr>
            <w:tcW w:w="2041"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职工监事</w:t>
            </w:r>
          </w:p>
        </w:tc>
      </w:tr>
    </w:tbl>
    <w:p w:rsidR="009E68BB" w:rsidRPr="006A4ECE" w:rsidRDefault="009E68BB" w:rsidP="006A4ECE">
      <w:pPr>
        <w:spacing w:line="560" w:lineRule="exact"/>
        <w:ind w:firstLineChars="250" w:firstLine="803"/>
        <w:rPr>
          <w:rFonts w:asciiTheme="minorEastAsia" w:eastAsiaTheme="minorEastAsia" w:hAnsiTheme="minorEastAsia"/>
          <w:b/>
          <w:sz w:val="32"/>
          <w:szCs w:val="32"/>
        </w:rPr>
      </w:pPr>
      <w:r w:rsidRPr="006A4ECE">
        <w:rPr>
          <w:rFonts w:asciiTheme="minorEastAsia" w:eastAsiaTheme="minorEastAsia" w:hAnsiTheme="minorEastAsia" w:hint="eastAsia"/>
          <w:b/>
          <w:sz w:val="32"/>
          <w:szCs w:val="32"/>
        </w:rPr>
        <w:t>（三）高级管理人员基本情况</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1"/>
        <w:gridCol w:w="4753"/>
        <w:gridCol w:w="2066"/>
      </w:tblGrid>
      <w:tr w:rsidR="009E68BB" w:rsidRPr="006A4ECE" w:rsidTr="00063487">
        <w:trPr>
          <w:trHeight w:val="449"/>
          <w:jc w:val="center"/>
        </w:trPr>
        <w:tc>
          <w:tcPr>
            <w:tcW w:w="1881"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姓  名</w:t>
            </w:r>
          </w:p>
        </w:tc>
        <w:tc>
          <w:tcPr>
            <w:tcW w:w="4753"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工作单位</w:t>
            </w:r>
          </w:p>
        </w:tc>
        <w:tc>
          <w:tcPr>
            <w:tcW w:w="2066"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职务</w:t>
            </w:r>
          </w:p>
        </w:tc>
      </w:tr>
      <w:tr w:rsidR="009E68BB" w:rsidRPr="006A4ECE" w:rsidTr="00063487">
        <w:trPr>
          <w:trHeight w:val="472"/>
          <w:jc w:val="center"/>
        </w:trPr>
        <w:tc>
          <w:tcPr>
            <w:tcW w:w="1881"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谢智威</w:t>
            </w:r>
          </w:p>
        </w:tc>
        <w:tc>
          <w:tcPr>
            <w:tcW w:w="4753" w:type="dxa"/>
            <w:vAlign w:val="center"/>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浙江诸暨联合村镇银行股份有限公司</w:t>
            </w:r>
          </w:p>
        </w:tc>
        <w:tc>
          <w:tcPr>
            <w:tcW w:w="2066"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行长</w:t>
            </w:r>
          </w:p>
        </w:tc>
      </w:tr>
      <w:tr w:rsidR="009E68BB" w:rsidRPr="006A4ECE" w:rsidTr="00063487">
        <w:trPr>
          <w:trHeight w:val="506"/>
          <w:jc w:val="center"/>
        </w:trPr>
        <w:tc>
          <w:tcPr>
            <w:tcW w:w="1881"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周国柱</w:t>
            </w:r>
          </w:p>
        </w:tc>
        <w:tc>
          <w:tcPr>
            <w:tcW w:w="4753" w:type="dxa"/>
            <w:vAlign w:val="center"/>
          </w:tcPr>
          <w:p w:rsidR="009E68BB" w:rsidRPr="006A4ECE" w:rsidRDefault="009E68BB" w:rsidP="00063487">
            <w:pPr>
              <w:widowControl/>
              <w:jc w:val="left"/>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浙江诸暨联合村镇银行股份有限公司</w:t>
            </w:r>
          </w:p>
        </w:tc>
        <w:tc>
          <w:tcPr>
            <w:tcW w:w="2066"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副行长</w:t>
            </w:r>
          </w:p>
        </w:tc>
      </w:tr>
    </w:tbl>
    <w:p w:rsidR="009E68BB" w:rsidRPr="006A4ECE" w:rsidRDefault="009E68BB" w:rsidP="006A4ECE">
      <w:pPr>
        <w:spacing w:line="560" w:lineRule="exact"/>
        <w:ind w:firstLineChars="250" w:firstLine="753"/>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（四）董监事会履职情况</w:t>
      </w:r>
    </w:p>
    <w:p w:rsidR="009E68BB" w:rsidRPr="006A4ECE" w:rsidRDefault="009E68BB" w:rsidP="009E68BB">
      <w:pPr>
        <w:adjustRightInd w:val="0"/>
        <w:snapToGrid w:val="0"/>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报告期内，董事会严格遵照《公司法》、《商业银行法》和本行《章程》的规定，勤勉忠实地履行各项职责，先后召开了6次董事会会议（其中临时会议2次），及时就业务经营工作中的重要事项进行了研究，并就全行发展战略、财务预算、专项审计、利润分配、高管任命、信息披露、网点机构规划等32项重大事项进行了审议并作出了决议，圆满完成了各项工作。</w:t>
      </w:r>
    </w:p>
    <w:p w:rsidR="009E68BB" w:rsidRPr="006A4ECE" w:rsidRDefault="009E68BB" w:rsidP="009E68BB">
      <w:pPr>
        <w:adjustRightInd w:val="0"/>
        <w:snapToGrid w:val="0"/>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报告期内，监事会严格按照国家相关法律法规及《浙江诸暨联合村镇银行股份有限公司章程》赋予的职责，按照“决策、执行、监督”三权分设的制衡机制，紧紧围绕股东大会确定的工作思路和工作重点，从履行监督职责、支持监督经营管理层工作、</w:t>
      </w:r>
      <w:r w:rsidRPr="006A4ECE">
        <w:rPr>
          <w:rFonts w:asciiTheme="minorEastAsia" w:eastAsiaTheme="minorEastAsia" w:hAnsiTheme="minorEastAsia" w:hint="eastAsia"/>
          <w:sz w:val="30"/>
          <w:szCs w:val="30"/>
        </w:rPr>
        <w:lastRenderedPageBreak/>
        <w:t>监审联动、强化内控制度建设等四个方面行使了监事会的职能，共召开现场例会3次，听取并审议了7项决议。</w:t>
      </w:r>
    </w:p>
    <w:p w:rsidR="009E68BB" w:rsidRPr="006A4ECE" w:rsidRDefault="009E68BB" w:rsidP="009E68BB">
      <w:pPr>
        <w:adjustRightInd w:val="0"/>
        <w:snapToGrid w:val="0"/>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报告期内，股东大会严格按照国家相关法律法规和本行《章程》赋予的职责，2021年共计召开股东大会年会1次，临时股东大会会议2次，共计形成涉及“十四五”战略规划、财务预算、年度审计、利润分配等14项重大事项决议，圆满完成了各项工作。</w:t>
      </w:r>
    </w:p>
    <w:p w:rsidR="009E68BB" w:rsidRPr="006A4ECE" w:rsidRDefault="009E68BB" w:rsidP="006A4ECE">
      <w:pPr>
        <w:spacing w:line="560" w:lineRule="exact"/>
        <w:ind w:firstLineChars="250" w:firstLine="753"/>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（五）组织架构及员工情况</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本行目前设立董事长室、行长室，综合管理部、运营管理部、内审部、风险管理部、业务管理部等五个职能部门，下设总行营业部、草塔支行、次坞支行、枫桥支行、牌头支行、璜山支行、店口支行、三角广场便民服务点、袁家便民服务点、应店街便民服务点、赵家便民服务点、五泄便民服务点、姚江便民服务点、暨南便民服务点、同山便民服务点、安华便民服务点，在编员工人数1</w:t>
      </w:r>
      <w:r w:rsidRPr="006A4ECE">
        <w:rPr>
          <w:rFonts w:asciiTheme="minorEastAsia" w:eastAsiaTheme="minorEastAsia" w:hAnsiTheme="minorEastAsia"/>
          <w:sz w:val="30"/>
          <w:szCs w:val="30"/>
        </w:rPr>
        <w:t>85</w:t>
      </w:r>
      <w:r w:rsidRPr="006A4ECE">
        <w:rPr>
          <w:rFonts w:asciiTheme="minorEastAsia" w:eastAsiaTheme="minorEastAsia" w:hAnsiTheme="minorEastAsia" w:hint="eastAsia"/>
          <w:sz w:val="30"/>
          <w:szCs w:val="30"/>
        </w:rPr>
        <w:t>人，较</w:t>
      </w:r>
      <w:r w:rsidRPr="006A4ECE">
        <w:rPr>
          <w:rFonts w:asciiTheme="minorEastAsia" w:eastAsiaTheme="minorEastAsia" w:hAnsiTheme="minorEastAsia"/>
          <w:sz w:val="30"/>
          <w:szCs w:val="30"/>
        </w:rPr>
        <w:t>2020</w:t>
      </w:r>
      <w:r w:rsidRPr="006A4ECE">
        <w:rPr>
          <w:rFonts w:asciiTheme="minorEastAsia" w:eastAsiaTheme="minorEastAsia" w:hAnsiTheme="minorEastAsia" w:hint="eastAsia"/>
          <w:sz w:val="30"/>
          <w:szCs w:val="30"/>
        </w:rPr>
        <w:t>年末增加</w:t>
      </w:r>
      <w:r w:rsidRPr="006A4ECE">
        <w:rPr>
          <w:rFonts w:asciiTheme="minorEastAsia" w:eastAsiaTheme="minorEastAsia" w:hAnsiTheme="minorEastAsia"/>
          <w:sz w:val="30"/>
          <w:szCs w:val="30"/>
        </w:rPr>
        <w:t>21</w:t>
      </w:r>
      <w:r w:rsidRPr="006A4ECE">
        <w:rPr>
          <w:rFonts w:asciiTheme="minorEastAsia" w:eastAsiaTheme="minorEastAsia" w:hAnsiTheme="minorEastAsia" w:hint="eastAsia"/>
          <w:sz w:val="30"/>
          <w:szCs w:val="30"/>
        </w:rPr>
        <w:t>人，其中管理人员1</w:t>
      </w:r>
      <w:r w:rsidRPr="006A4ECE">
        <w:rPr>
          <w:rFonts w:asciiTheme="minorEastAsia" w:eastAsiaTheme="minorEastAsia" w:hAnsiTheme="minorEastAsia"/>
          <w:sz w:val="30"/>
          <w:szCs w:val="30"/>
        </w:rPr>
        <w:t>9</w:t>
      </w:r>
      <w:r w:rsidRPr="006A4ECE">
        <w:rPr>
          <w:rFonts w:asciiTheme="minorEastAsia" w:eastAsiaTheme="minorEastAsia" w:hAnsiTheme="minorEastAsia" w:hint="eastAsia"/>
          <w:sz w:val="30"/>
          <w:szCs w:val="30"/>
        </w:rPr>
        <w:t>人，普通员工1</w:t>
      </w:r>
      <w:r w:rsidRPr="006A4ECE">
        <w:rPr>
          <w:rFonts w:asciiTheme="minorEastAsia" w:eastAsiaTheme="minorEastAsia" w:hAnsiTheme="minorEastAsia"/>
          <w:sz w:val="30"/>
          <w:szCs w:val="30"/>
        </w:rPr>
        <w:t>6</w:t>
      </w:r>
      <w:r w:rsidRPr="006A4ECE">
        <w:rPr>
          <w:rFonts w:asciiTheme="minorEastAsia" w:eastAsiaTheme="minorEastAsia" w:hAnsiTheme="minorEastAsia" w:hint="eastAsia"/>
          <w:sz w:val="30"/>
          <w:szCs w:val="30"/>
        </w:rPr>
        <w:t>6人。</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3"/>
        <w:gridCol w:w="2425"/>
        <w:gridCol w:w="2602"/>
      </w:tblGrid>
      <w:tr w:rsidR="009E68BB" w:rsidRPr="006A4ECE" w:rsidTr="00063487">
        <w:trPr>
          <w:trHeight w:val="441"/>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部室类别</w:t>
            </w:r>
          </w:p>
        </w:tc>
        <w:tc>
          <w:tcPr>
            <w:tcW w:w="2425"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员工人数</w:t>
            </w:r>
          </w:p>
        </w:tc>
        <w:tc>
          <w:tcPr>
            <w:tcW w:w="2602"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占员工总数比例</w:t>
            </w:r>
          </w:p>
        </w:tc>
      </w:tr>
      <w:tr w:rsidR="009E68BB" w:rsidRPr="006A4ECE" w:rsidTr="00063487">
        <w:trPr>
          <w:trHeight w:val="441"/>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董事长室</w:t>
            </w:r>
          </w:p>
        </w:tc>
        <w:tc>
          <w:tcPr>
            <w:tcW w:w="2425"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1</w:t>
            </w:r>
          </w:p>
        </w:tc>
        <w:tc>
          <w:tcPr>
            <w:tcW w:w="260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0.54%</w:t>
            </w:r>
          </w:p>
        </w:tc>
      </w:tr>
      <w:tr w:rsidR="009E68BB" w:rsidRPr="006A4ECE" w:rsidTr="00063487">
        <w:trPr>
          <w:trHeight w:val="441"/>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行长室</w:t>
            </w:r>
          </w:p>
        </w:tc>
        <w:tc>
          <w:tcPr>
            <w:tcW w:w="2425"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2</w:t>
            </w:r>
          </w:p>
        </w:tc>
        <w:tc>
          <w:tcPr>
            <w:tcW w:w="260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1.08%</w:t>
            </w:r>
          </w:p>
        </w:tc>
      </w:tr>
      <w:tr w:rsidR="009E68BB" w:rsidRPr="006A4ECE" w:rsidTr="00063487">
        <w:trPr>
          <w:trHeight w:val="441"/>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综合管理部</w:t>
            </w:r>
          </w:p>
        </w:tc>
        <w:tc>
          <w:tcPr>
            <w:tcW w:w="2425"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5</w:t>
            </w:r>
          </w:p>
        </w:tc>
        <w:tc>
          <w:tcPr>
            <w:tcW w:w="260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2.70%</w:t>
            </w:r>
          </w:p>
        </w:tc>
      </w:tr>
      <w:tr w:rsidR="009E68BB" w:rsidRPr="006A4ECE" w:rsidTr="00063487">
        <w:trPr>
          <w:trHeight w:val="441"/>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运营管理部</w:t>
            </w:r>
          </w:p>
        </w:tc>
        <w:tc>
          <w:tcPr>
            <w:tcW w:w="2425"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9</w:t>
            </w:r>
          </w:p>
        </w:tc>
        <w:tc>
          <w:tcPr>
            <w:tcW w:w="260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4.86%</w:t>
            </w:r>
          </w:p>
        </w:tc>
      </w:tr>
      <w:tr w:rsidR="009E68BB" w:rsidRPr="006A4ECE" w:rsidTr="00063487">
        <w:trPr>
          <w:trHeight w:val="441"/>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业务管理部</w:t>
            </w:r>
          </w:p>
        </w:tc>
        <w:tc>
          <w:tcPr>
            <w:tcW w:w="2425"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3</w:t>
            </w:r>
          </w:p>
        </w:tc>
        <w:tc>
          <w:tcPr>
            <w:tcW w:w="260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1.62%</w:t>
            </w:r>
          </w:p>
        </w:tc>
      </w:tr>
      <w:tr w:rsidR="009E68BB" w:rsidRPr="006A4ECE" w:rsidTr="00063487">
        <w:trPr>
          <w:trHeight w:val="441"/>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内审部</w:t>
            </w:r>
          </w:p>
        </w:tc>
        <w:tc>
          <w:tcPr>
            <w:tcW w:w="2425"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3</w:t>
            </w:r>
          </w:p>
        </w:tc>
        <w:tc>
          <w:tcPr>
            <w:tcW w:w="260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1.62%</w:t>
            </w:r>
          </w:p>
        </w:tc>
      </w:tr>
      <w:tr w:rsidR="009E68BB" w:rsidRPr="006A4ECE" w:rsidTr="00063487">
        <w:trPr>
          <w:trHeight w:val="441"/>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风险管理部</w:t>
            </w:r>
          </w:p>
        </w:tc>
        <w:tc>
          <w:tcPr>
            <w:tcW w:w="2425"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12</w:t>
            </w:r>
          </w:p>
        </w:tc>
        <w:tc>
          <w:tcPr>
            <w:tcW w:w="260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6.49%</w:t>
            </w:r>
          </w:p>
        </w:tc>
      </w:tr>
      <w:tr w:rsidR="009E68BB" w:rsidRPr="006A4ECE" w:rsidTr="00063487">
        <w:trPr>
          <w:trHeight w:val="441"/>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微贷事业部</w:t>
            </w:r>
          </w:p>
        </w:tc>
        <w:tc>
          <w:tcPr>
            <w:tcW w:w="2425"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16</w:t>
            </w:r>
          </w:p>
        </w:tc>
        <w:tc>
          <w:tcPr>
            <w:tcW w:w="260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8.65%</w:t>
            </w:r>
          </w:p>
        </w:tc>
      </w:tr>
      <w:tr w:rsidR="009E68BB" w:rsidRPr="006A4ECE" w:rsidTr="00063487">
        <w:trPr>
          <w:trHeight w:val="441"/>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总行营业部</w:t>
            </w:r>
          </w:p>
        </w:tc>
        <w:tc>
          <w:tcPr>
            <w:tcW w:w="2425"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19</w:t>
            </w:r>
          </w:p>
        </w:tc>
        <w:tc>
          <w:tcPr>
            <w:tcW w:w="260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10.27%</w:t>
            </w:r>
          </w:p>
        </w:tc>
      </w:tr>
      <w:tr w:rsidR="009E68BB" w:rsidRPr="006A4ECE" w:rsidTr="00063487">
        <w:trPr>
          <w:trHeight w:val="441"/>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便民网点</w:t>
            </w:r>
          </w:p>
        </w:tc>
        <w:tc>
          <w:tcPr>
            <w:tcW w:w="2425"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40</w:t>
            </w:r>
          </w:p>
        </w:tc>
        <w:tc>
          <w:tcPr>
            <w:tcW w:w="260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21.62%</w:t>
            </w:r>
          </w:p>
        </w:tc>
      </w:tr>
      <w:tr w:rsidR="009E68BB" w:rsidRPr="006A4ECE" w:rsidTr="00063487">
        <w:trPr>
          <w:trHeight w:val="441"/>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lastRenderedPageBreak/>
              <w:t>草塔支行</w:t>
            </w:r>
          </w:p>
        </w:tc>
        <w:tc>
          <w:tcPr>
            <w:tcW w:w="2425"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14</w:t>
            </w:r>
          </w:p>
        </w:tc>
        <w:tc>
          <w:tcPr>
            <w:tcW w:w="260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7.57%</w:t>
            </w:r>
          </w:p>
        </w:tc>
      </w:tr>
      <w:tr w:rsidR="009E68BB" w:rsidRPr="006A4ECE" w:rsidTr="00063487">
        <w:trPr>
          <w:trHeight w:val="441"/>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次坞支行</w:t>
            </w:r>
          </w:p>
        </w:tc>
        <w:tc>
          <w:tcPr>
            <w:tcW w:w="2425"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11</w:t>
            </w:r>
          </w:p>
        </w:tc>
        <w:tc>
          <w:tcPr>
            <w:tcW w:w="260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5.95%</w:t>
            </w:r>
          </w:p>
        </w:tc>
      </w:tr>
      <w:tr w:rsidR="009E68BB" w:rsidRPr="006A4ECE" w:rsidTr="00063487">
        <w:trPr>
          <w:trHeight w:val="441"/>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枫桥支行</w:t>
            </w:r>
          </w:p>
        </w:tc>
        <w:tc>
          <w:tcPr>
            <w:tcW w:w="2425"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16</w:t>
            </w:r>
          </w:p>
        </w:tc>
        <w:tc>
          <w:tcPr>
            <w:tcW w:w="260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8.65%</w:t>
            </w:r>
          </w:p>
        </w:tc>
      </w:tr>
      <w:tr w:rsidR="009E68BB" w:rsidRPr="006A4ECE" w:rsidTr="00063487">
        <w:trPr>
          <w:trHeight w:val="441"/>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牌头支行</w:t>
            </w:r>
          </w:p>
        </w:tc>
        <w:tc>
          <w:tcPr>
            <w:tcW w:w="2425"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10</w:t>
            </w:r>
          </w:p>
        </w:tc>
        <w:tc>
          <w:tcPr>
            <w:tcW w:w="260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5.41%</w:t>
            </w:r>
          </w:p>
        </w:tc>
      </w:tr>
      <w:tr w:rsidR="009E68BB" w:rsidRPr="006A4ECE" w:rsidTr="00063487">
        <w:trPr>
          <w:trHeight w:val="441"/>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璜山支行</w:t>
            </w:r>
          </w:p>
        </w:tc>
        <w:tc>
          <w:tcPr>
            <w:tcW w:w="2425"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12</w:t>
            </w:r>
          </w:p>
        </w:tc>
        <w:tc>
          <w:tcPr>
            <w:tcW w:w="260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6.49%</w:t>
            </w:r>
          </w:p>
        </w:tc>
      </w:tr>
      <w:tr w:rsidR="009E68BB" w:rsidRPr="006A4ECE" w:rsidTr="00063487">
        <w:trPr>
          <w:trHeight w:val="441"/>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店口支行</w:t>
            </w:r>
          </w:p>
        </w:tc>
        <w:tc>
          <w:tcPr>
            <w:tcW w:w="2425"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12</w:t>
            </w:r>
          </w:p>
        </w:tc>
        <w:tc>
          <w:tcPr>
            <w:tcW w:w="260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6.49%</w:t>
            </w:r>
          </w:p>
        </w:tc>
      </w:tr>
      <w:tr w:rsidR="009E68BB" w:rsidRPr="006A4ECE" w:rsidTr="00063487">
        <w:trPr>
          <w:trHeight w:val="486"/>
          <w:jc w:val="center"/>
        </w:trPr>
        <w:tc>
          <w:tcPr>
            <w:tcW w:w="3613"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合计</w:t>
            </w:r>
          </w:p>
        </w:tc>
        <w:tc>
          <w:tcPr>
            <w:tcW w:w="2425"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185</w:t>
            </w:r>
          </w:p>
        </w:tc>
        <w:tc>
          <w:tcPr>
            <w:tcW w:w="2602"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color w:val="000000"/>
                <w:sz w:val="22"/>
                <w:szCs w:val="22"/>
              </w:rPr>
              <w:t>100.00%</w:t>
            </w:r>
          </w:p>
        </w:tc>
      </w:tr>
    </w:tbl>
    <w:p w:rsidR="009E68BB" w:rsidRPr="006A4ECE" w:rsidRDefault="009E68BB" w:rsidP="006A4ECE">
      <w:pPr>
        <w:spacing w:line="560" w:lineRule="exact"/>
        <w:ind w:firstLineChars="200" w:firstLine="602"/>
        <w:rPr>
          <w:rFonts w:asciiTheme="minorEastAsia" w:eastAsiaTheme="minorEastAsia" w:hAnsiTheme="minorEastAsia"/>
          <w:b/>
          <w:sz w:val="30"/>
          <w:szCs w:val="30"/>
        </w:rPr>
      </w:pPr>
    </w:p>
    <w:p w:rsidR="009E68BB" w:rsidRPr="006A4ECE" w:rsidRDefault="009E68BB" w:rsidP="006A4ECE">
      <w:pPr>
        <w:spacing w:line="560" w:lineRule="exact"/>
        <w:ind w:firstLineChars="200" w:firstLine="602"/>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（六）员工受教育程度</w:t>
      </w:r>
    </w:p>
    <w:tbl>
      <w:tblPr>
        <w:tblW w:w="8532"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6"/>
        <w:gridCol w:w="2583"/>
        <w:gridCol w:w="2923"/>
      </w:tblGrid>
      <w:tr w:rsidR="009E68BB" w:rsidRPr="006A4ECE" w:rsidTr="00063487">
        <w:trPr>
          <w:trHeight w:val="499"/>
          <w:jc w:val="center"/>
        </w:trPr>
        <w:tc>
          <w:tcPr>
            <w:tcW w:w="3026"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学历类别</w:t>
            </w:r>
          </w:p>
        </w:tc>
        <w:tc>
          <w:tcPr>
            <w:tcW w:w="2583"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员工人数</w:t>
            </w:r>
          </w:p>
        </w:tc>
        <w:tc>
          <w:tcPr>
            <w:tcW w:w="2923" w:type="dxa"/>
            <w:vAlign w:val="center"/>
          </w:tcPr>
          <w:p w:rsidR="009E68BB" w:rsidRPr="006A4ECE" w:rsidRDefault="009E68BB" w:rsidP="00063487">
            <w:pPr>
              <w:widowControl/>
              <w:jc w:val="center"/>
              <w:rPr>
                <w:rFonts w:asciiTheme="minorEastAsia" w:eastAsiaTheme="minorEastAsia" w:hAnsiTheme="minorEastAsia" w:cs="宋体"/>
                <w:b/>
                <w:kern w:val="0"/>
                <w:sz w:val="24"/>
              </w:rPr>
            </w:pPr>
            <w:r w:rsidRPr="006A4ECE">
              <w:rPr>
                <w:rFonts w:asciiTheme="minorEastAsia" w:eastAsiaTheme="minorEastAsia" w:hAnsiTheme="minorEastAsia" w:cs="宋体" w:hint="eastAsia"/>
                <w:b/>
                <w:kern w:val="0"/>
                <w:sz w:val="24"/>
              </w:rPr>
              <w:t>占员工总数的比例</w:t>
            </w:r>
          </w:p>
        </w:tc>
      </w:tr>
      <w:tr w:rsidR="009E68BB" w:rsidRPr="006A4ECE" w:rsidTr="00063487">
        <w:trPr>
          <w:trHeight w:val="464"/>
          <w:jc w:val="center"/>
        </w:trPr>
        <w:tc>
          <w:tcPr>
            <w:tcW w:w="3026"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本科及本科以上</w:t>
            </w:r>
          </w:p>
        </w:tc>
        <w:tc>
          <w:tcPr>
            <w:tcW w:w="2583"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hint="eastAsia"/>
                <w:kern w:val="0"/>
                <w:sz w:val="24"/>
              </w:rPr>
              <w:t>110</w:t>
            </w:r>
          </w:p>
        </w:tc>
        <w:tc>
          <w:tcPr>
            <w:tcW w:w="2923"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kern w:val="0"/>
                <w:sz w:val="24"/>
              </w:rPr>
              <w:t>59.4</w:t>
            </w:r>
            <w:r w:rsidRPr="006A4ECE">
              <w:rPr>
                <w:rFonts w:asciiTheme="minorEastAsia" w:eastAsiaTheme="minorEastAsia" w:hAnsiTheme="minorEastAsia" w:hint="eastAsia"/>
                <w:kern w:val="0"/>
                <w:sz w:val="24"/>
              </w:rPr>
              <w:t>6</w:t>
            </w:r>
            <w:r w:rsidRPr="006A4ECE">
              <w:rPr>
                <w:rFonts w:asciiTheme="minorEastAsia" w:eastAsiaTheme="minorEastAsia" w:hAnsiTheme="minorEastAsia"/>
                <w:kern w:val="0"/>
                <w:sz w:val="24"/>
              </w:rPr>
              <w:t>%</w:t>
            </w:r>
          </w:p>
        </w:tc>
      </w:tr>
      <w:tr w:rsidR="009E68BB" w:rsidRPr="006A4ECE" w:rsidTr="00063487">
        <w:trPr>
          <w:trHeight w:val="399"/>
          <w:jc w:val="center"/>
        </w:trPr>
        <w:tc>
          <w:tcPr>
            <w:tcW w:w="3026"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大专</w:t>
            </w:r>
          </w:p>
        </w:tc>
        <w:tc>
          <w:tcPr>
            <w:tcW w:w="2583"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kern w:val="0"/>
                <w:sz w:val="24"/>
              </w:rPr>
              <w:t>75</w:t>
            </w:r>
          </w:p>
        </w:tc>
        <w:tc>
          <w:tcPr>
            <w:tcW w:w="2923"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kern w:val="0"/>
                <w:sz w:val="24"/>
              </w:rPr>
              <w:t>40.</w:t>
            </w:r>
            <w:r w:rsidRPr="006A4ECE">
              <w:rPr>
                <w:rFonts w:asciiTheme="minorEastAsia" w:eastAsiaTheme="minorEastAsia" w:hAnsiTheme="minorEastAsia" w:hint="eastAsia"/>
                <w:kern w:val="0"/>
                <w:sz w:val="24"/>
              </w:rPr>
              <w:t>5</w:t>
            </w:r>
            <w:r w:rsidRPr="006A4ECE">
              <w:rPr>
                <w:rFonts w:asciiTheme="minorEastAsia" w:eastAsiaTheme="minorEastAsia" w:hAnsiTheme="minorEastAsia"/>
                <w:kern w:val="0"/>
                <w:sz w:val="24"/>
              </w:rPr>
              <w:t>4%</w:t>
            </w:r>
          </w:p>
        </w:tc>
      </w:tr>
      <w:tr w:rsidR="009E68BB" w:rsidRPr="006A4ECE" w:rsidTr="00063487">
        <w:trPr>
          <w:trHeight w:val="446"/>
          <w:jc w:val="center"/>
        </w:trPr>
        <w:tc>
          <w:tcPr>
            <w:tcW w:w="3026" w:type="dxa"/>
            <w:vAlign w:val="center"/>
          </w:tcPr>
          <w:p w:rsidR="009E68BB" w:rsidRPr="006A4ECE" w:rsidRDefault="009E68BB" w:rsidP="00063487">
            <w:pPr>
              <w:widowControl/>
              <w:jc w:val="center"/>
              <w:rPr>
                <w:rFonts w:asciiTheme="minorEastAsia" w:eastAsiaTheme="minorEastAsia" w:hAnsiTheme="minorEastAsia" w:cs="宋体"/>
                <w:kern w:val="0"/>
                <w:sz w:val="24"/>
              </w:rPr>
            </w:pPr>
            <w:r w:rsidRPr="006A4ECE">
              <w:rPr>
                <w:rFonts w:asciiTheme="minorEastAsia" w:eastAsiaTheme="minorEastAsia" w:hAnsiTheme="minorEastAsia" w:cs="宋体" w:hint="eastAsia"/>
                <w:kern w:val="0"/>
                <w:sz w:val="24"/>
              </w:rPr>
              <w:t>合计</w:t>
            </w:r>
          </w:p>
        </w:tc>
        <w:tc>
          <w:tcPr>
            <w:tcW w:w="2583"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kern w:val="0"/>
                <w:sz w:val="24"/>
              </w:rPr>
              <w:t>185</w:t>
            </w:r>
          </w:p>
        </w:tc>
        <w:tc>
          <w:tcPr>
            <w:tcW w:w="2923" w:type="dxa"/>
            <w:vAlign w:val="center"/>
          </w:tcPr>
          <w:p w:rsidR="009E68BB" w:rsidRPr="006A4ECE" w:rsidRDefault="009E68BB" w:rsidP="00063487">
            <w:pPr>
              <w:widowControl/>
              <w:jc w:val="center"/>
              <w:rPr>
                <w:rFonts w:asciiTheme="minorEastAsia" w:eastAsiaTheme="minorEastAsia" w:hAnsiTheme="minorEastAsia"/>
                <w:kern w:val="0"/>
                <w:sz w:val="24"/>
              </w:rPr>
            </w:pPr>
            <w:r w:rsidRPr="006A4ECE">
              <w:rPr>
                <w:rFonts w:asciiTheme="minorEastAsia" w:eastAsiaTheme="minorEastAsia" w:hAnsiTheme="minorEastAsia"/>
                <w:kern w:val="0"/>
                <w:sz w:val="24"/>
              </w:rPr>
              <w:t>100.00%</w:t>
            </w:r>
          </w:p>
        </w:tc>
      </w:tr>
    </w:tbl>
    <w:p w:rsidR="009E68BB" w:rsidRPr="006A4ECE" w:rsidRDefault="009E68BB" w:rsidP="006A4ECE">
      <w:pPr>
        <w:spacing w:line="560" w:lineRule="exact"/>
        <w:ind w:firstLineChars="198" w:firstLine="596"/>
        <w:jc w:val="left"/>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四、薪酬管理情况</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color w:val="000000"/>
          <w:sz w:val="30"/>
          <w:szCs w:val="30"/>
        </w:rPr>
        <w:t>全年列支工资性支出4400.99万元，低于全年工资性支出预算4443.5万元。其中职工工资2916.06万元，包含基础薪酬1124.80万元，基础薪酬占比38.57%，符合《商业银行稳健薪酬监管指引》要求；非职工工资性支出1672.89万元，主要由员工伙食费、住房公积金、工作服、社保、工会经费、职工教育经费等组成。</w:t>
      </w:r>
    </w:p>
    <w:p w:rsidR="009E68BB" w:rsidRPr="006A4ECE" w:rsidRDefault="009E68BB" w:rsidP="006A4ECE">
      <w:pPr>
        <w:spacing w:line="560" w:lineRule="exact"/>
        <w:ind w:firstLineChars="198" w:firstLine="596"/>
        <w:jc w:val="left"/>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五、社会责任履职情况</w:t>
      </w:r>
    </w:p>
    <w:p w:rsidR="009E68BB" w:rsidRPr="006A4ECE" w:rsidRDefault="009E68BB" w:rsidP="006A4ECE">
      <w:pPr>
        <w:spacing w:line="560" w:lineRule="exact"/>
        <w:ind w:firstLineChars="200" w:firstLine="602"/>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（一）小微信贷业务开展情况</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本行始终坚持“支农、支小、支微”的市场定位，积极履行“普惠金融”的工作使命。截至2021年末，本行信贷规模</w:t>
      </w:r>
      <w:r w:rsidRPr="006A4ECE">
        <w:rPr>
          <w:rFonts w:asciiTheme="minorEastAsia" w:eastAsiaTheme="minorEastAsia" w:hAnsiTheme="minorEastAsia" w:hint="eastAsia"/>
          <w:color w:val="000000"/>
          <w:sz w:val="30"/>
          <w:szCs w:val="30"/>
        </w:rPr>
        <w:t>307980.05</w:t>
      </w:r>
      <w:r w:rsidRPr="006A4ECE">
        <w:rPr>
          <w:rFonts w:asciiTheme="minorEastAsia" w:eastAsiaTheme="minorEastAsia" w:hAnsiTheme="minorEastAsia" w:hint="eastAsia"/>
          <w:sz w:val="30"/>
          <w:szCs w:val="30"/>
        </w:rPr>
        <w:t>万元，贷款户数</w:t>
      </w:r>
      <w:r w:rsidRPr="006A4ECE">
        <w:rPr>
          <w:rFonts w:asciiTheme="minorEastAsia" w:eastAsiaTheme="minorEastAsia" w:hAnsiTheme="minorEastAsia" w:hint="eastAsia"/>
          <w:color w:val="000000"/>
          <w:sz w:val="30"/>
          <w:szCs w:val="30"/>
        </w:rPr>
        <w:t>10688</w:t>
      </w:r>
      <w:r w:rsidRPr="006A4ECE">
        <w:rPr>
          <w:rFonts w:asciiTheme="minorEastAsia" w:eastAsiaTheme="minorEastAsia" w:hAnsiTheme="minorEastAsia" w:hint="eastAsia"/>
          <w:sz w:val="30"/>
          <w:szCs w:val="30"/>
        </w:rPr>
        <w:t>户。涉农贷款</w:t>
      </w:r>
      <w:r w:rsidRPr="006A4ECE">
        <w:rPr>
          <w:rFonts w:asciiTheme="minorEastAsia" w:eastAsiaTheme="minorEastAsia" w:hAnsiTheme="minorEastAsia" w:hint="eastAsia"/>
          <w:color w:val="000000"/>
          <w:sz w:val="30"/>
          <w:szCs w:val="30"/>
        </w:rPr>
        <w:t>307585.05</w:t>
      </w:r>
      <w:r w:rsidRPr="006A4ECE">
        <w:rPr>
          <w:rFonts w:asciiTheme="minorEastAsia" w:eastAsiaTheme="minorEastAsia" w:hAnsiTheme="minorEastAsia" w:hint="eastAsia"/>
          <w:sz w:val="30"/>
          <w:szCs w:val="30"/>
        </w:rPr>
        <w:t>万元，涉农率达到99.87%。</w:t>
      </w:r>
    </w:p>
    <w:p w:rsidR="009E68BB" w:rsidRPr="006A4ECE" w:rsidRDefault="009E68BB" w:rsidP="006A4ECE">
      <w:pPr>
        <w:spacing w:line="560" w:lineRule="exact"/>
        <w:ind w:firstLineChars="200" w:firstLine="602"/>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lastRenderedPageBreak/>
        <w:t>（二）消费者权益保护工作开展情况</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2021年本行进一步履行消费者权益保护社会责任，开展金融知识下乡、反假币宣传、反洗钱宣传以及送贷下乡宣传活动，结合日常经营活动，在农贸菜场、中心商圈开展消费者权益保护知识普及和宣传工作；此外，本行还建立了暗访机制，设置了投诉热线和投诉邮箱，公示投诉事件处理流程。2021年，本行未发生重大投诉事件，未发生声誉风险事件。</w:t>
      </w:r>
    </w:p>
    <w:p w:rsidR="009E68BB" w:rsidRPr="006A4ECE" w:rsidRDefault="009E68BB" w:rsidP="006A4ECE">
      <w:pPr>
        <w:spacing w:line="560" w:lineRule="exact"/>
        <w:ind w:firstLineChars="198" w:firstLine="596"/>
        <w:jc w:val="left"/>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六、面临的风险及相应对策</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本行在报告期及未来的经营活动中面临的风险主要是信用风险、操作风险和流动性风险。现将本行2021年三大类风险情况披露如下：</w:t>
      </w:r>
    </w:p>
    <w:p w:rsidR="009E68BB" w:rsidRPr="006A4ECE" w:rsidRDefault="009E68BB" w:rsidP="009E68BB">
      <w:pPr>
        <w:spacing w:line="560" w:lineRule="exact"/>
        <w:ind w:left="640"/>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（一）信用风险</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报告期内，本行五级不良贷款绝对额为</w:t>
      </w:r>
      <w:r w:rsidRPr="006A4ECE">
        <w:rPr>
          <w:rFonts w:asciiTheme="minorEastAsia" w:eastAsiaTheme="minorEastAsia" w:hAnsiTheme="minorEastAsia" w:hint="eastAsia"/>
          <w:color w:val="000000"/>
          <w:sz w:val="30"/>
          <w:szCs w:val="30"/>
        </w:rPr>
        <w:t>2897.15</w:t>
      </w:r>
      <w:r w:rsidRPr="006A4ECE">
        <w:rPr>
          <w:rFonts w:asciiTheme="minorEastAsia" w:eastAsiaTheme="minorEastAsia" w:hAnsiTheme="minorEastAsia" w:hint="eastAsia"/>
          <w:sz w:val="30"/>
          <w:szCs w:val="30"/>
        </w:rPr>
        <w:t>万元，五级不良率</w:t>
      </w:r>
      <w:r w:rsidRPr="006A4ECE">
        <w:rPr>
          <w:rFonts w:asciiTheme="minorEastAsia" w:eastAsiaTheme="minorEastAsia" w:hAnsiTheme="minorEastAsia" w:hint="eastAsia"/>
          <w:color w:val="000000"/>
          <w:sz w:val="30"/>
          <w:szCs w:val="30"/>
        </w:rPr>
        <w:t>0.94%</w:t>
      </w:r>
      <w:r w:rsidRPr="006A4ECE">
        <w:rPr>
          <w:rFonts w:asciiTheme="minorEastAsia" w:eastAsiaTheme="minorEastAsia" w:hAnsiTheme="minorEastAsia" w:hint="eastAsia"/>
          <w:sz w:val="30"/>
          <w:szCs w:val="30"/>
        </w:rPr>
        <w:t>，贷款减值准备余额</w:t>
      </w:r>
      <w:r w:rsidRPr="006A4ECE">
        <w:rPr>
          <w:rFonts w:asciiTheme="minorEastAsia" w:eastAsiaTheme="minorEastAsia" w:hAnsiTheme="minorEastAsia" w:hint="eastAsia"/>
          <w:color w:val="000000"/>
          <w:sz w:val="30"/>
          <w:szCs w:val="30"/>
        </w:rPr>
        <w:t>11879.41</w:t>
      </w:r>
      <w:r w:rsidRPr="006A4ECE">
        <w:rPr>
          <w:rFonts w:asciiTheme="minorEastAsia" w:eastAsiaTheme="minorEastAsia" w:hAnsiTheme="minorEastAsia" w:hint="eastAsia"/>
          <w:sz w:val="30"/>
          <w:szCs w:val="30"/>
        </w:rPr>
        <w:t>万元，</w:t>
      </w:r>
      <w:r w:rsidRPr="006A4ECE">
        <w:rPr>
          <w:rFonts w:asciiTheme="minorEastAsia" w:eastAsiaTheme="minorEastAsia" w:hAnsiTheme="minorEastAsia" w:hint="eastAsia"/>
          <w:color w:val="000000"/>
          <w:sz w:val="30"/>
          <w:szCs w:val="30"/>
        </w:rPr>
        <w:t>拨备覆盖率410.04%</w:t>
      </w:r>
      <w:r w:rsidRPr="006A4ECE">
        <w:rPr>
          <w:rFonts w:asciiTheme="minorEastAsia" w:eastAsiaTheme="minorEastAsia" w:hAnsiTheme="minorEastAsia" w:hint="eastAsia"/>
          <w:sz w:val="30"/>
          <w:szCs w:val="30"/>
        </w:rPr>
        <w:t>，满足监管部门不低于150%的监管要求。</w:t>
      </w:r>
    </w:p>
    <w:p w:rsidR="009E68BB" w:rsidRPr="006A4ECE" w:rsidRDefault="009E68BB" w:rsidP="006A4ECE">
      <w:pPr>
        <w:spacing w:line="560" w:lineRule="exact"/>
        <w:ind w:firstLineChars="200" w:firstLine="602"/>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（二）操作风险</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报告期内，本行未发生重大的操作性风险事件。</w:t>
      </w:r>
    </w:p>
    <w:p w:rsidR="009E68BB" w:rsidRPr="006A4ECE" w:rsidRDefault="009E68BB" w:rsidP="006A4ECE">
      <w:pPr>
        <w:spacing w:line="560" w:lineRule="exact"/>
        <w:ind w:firstLineChars="200" w:firstLine="602"/>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（三）流动性风险</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报告期末，本行流动性比例为76.71%，符合相关监管要求。</w:t>
      </w:r>
    </w:p>
    <w:p w:rsidR="009E68BB" w:rsidRPr="006A4ECE" w:rsidRDefault="009E68BB" w:rsidP="006A4ECE">
      <w:pPr>
        <w:spacing w:line="560" w:lineRule="exact"/>
        <w:ind w:firstLineChars="198" w:firstLine="596"/>
        <w:jc w:val="left"/>
        <w:rPr>
          <w:rFonts w:asciiTheme="minorEastAsia" w:eastAsiaTheme="minorEastAsia" w:hAnsiTheme="minorEastAsia"/>
          <w:b/>
          <w:sz w:val="30"/>
          <w:szCs w:val="30"/>
        </w:rPr>
      </w:pPr>
      <w:r w:rsidRPr="006A4ECE">
        <w:rPr>
          <w:rFonts w:asciiTheme="minorEastAsia" w:eastAsiaTheme="minorEastAsia" w:hAnsiTheme="minorEastAsia" w:hint="eastAsia"/>
          <w:b/>
          <w:sz w:val="30"/>
          <w:szCs w:val="30"/>
        </w:rPr>
        <w:t>七、重要事项</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（一）报告期内，本行无重大诉讼、仲裁事项。</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（二）报告期内，本行未发生重大案件、重大差错等情况。</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（三）报告期内，本行各项业务合同履行情况正常，无重大合同纠纷发生。</w:t>
      </w:r>
    </w:p>
    <w:p w:rsidR="009E68BB" w:rsidRPr="006A4ECE" w:rsidRDefault="009E68BB" w:rsidP="009E68BB">
      <w:pPr>
        <w:spacing w:line="560" w:lineRule="exact"/>
        <w:ind w:firstLineChars="200" w:firstLine="600"/>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lastRenderedPageBreak/>
        <w:t>（四）报告期内，除上述信息外，本行无必须要让公众了解的重要信息。</w:t>
      </w:r>
    </w:p>
    <w:p w:rsidR="009E68BB" w:rsidRPr="006A4ECE" w:rsidRDefault="009E68BB" w:rsidP="009E68BB">
      <w:pPr>
        <w:spacing w:line="560" w:lineRule="exact"/>
        <w:ind w:right="600" w:firstLineChars="250" w:firstLine="750"/>
        <w:rPr>
          <w:rFonts w:asciiTheme="minorEastAsia" w:eastAsiaTheme="minorEastAsia" w:hAnsiTheme="minorEastAsia"/>
          <w:sz w:val="30"/>
          <w:szCs w:val="30"/>
        </w:rPr>
      </w:pPr>
    </w:p>
    <w:p w:rsidR="009E68BB" w:rsidRPr="006A4ECE" w:rsidRDefault="009E68BB" w:rsidP="009E68BB">
      <w:pPr>
        <w:spacing w:line="560" w:lineRule="exact"/>
        <w:ind w:firstLineChars="250" w:firstLine="750"/>
        <w:jc w:val="right"/>
        <w:rPr>
          <w:rFonts w:asciiTheme="minorEastAsia" w:eastAsiaTheme="minorEastAsia" w:hAnsiTheme="minorEastAsia"/>
          <w:sz w:val="30"/>
          <w:szCs w:val="30"/>
        </w:rPr>
      </w:pPr>
    </w:p>
    <w:p w:rsidR="009E68BB" w:rsidRPr="006A4ECE" w:rsidRDefault="009E68BB" w:rsidP="009E68BB">
      <w:pPr>
        <w:spacing w:line="560" w:lineRule="exact"/>
        <w:ind w:firstLineChars="250" w:firstLine="750"/>
        <w:jc w:val="right"/>
        <w:rPr>
          <w:rFonts w:asciiTheme="minorEastAsia" w:eastAsiaTheme="minorEastAsia" w:hAnsiTheme="minorEastAsia"/>
          <w:sz w:val="30"/>
          <w:szCs w:val="30"/>
        </w:rPr>
      </w:pPr>
    </w:p>
    <w:p w:rsidR="009E68BB" w:rsidRPr="006A4ECE" w:rsidRDefault="009E68BB" w:rsidP="009E68BB">
      <w:pPr>
        <w:spacing w:line="560" w:lineRule="exact"/>
        <w:ind w:firstLineChars="250" w:firstLine="750"/>
        <w:jc w:val="right"/>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浙江诸暨联合村镇银行股份有限公司</w:t>
      </w:r>
    </w:p>
    <w:p w:rsidR="009E68BB" w:rsidRPr="006A4ECE" w:rsidRDefault="009E68BB" w:rsidP="009E68BB">
      <w:pPr>
        <w:wordWrap w:val="0"/>
        <w:spacing w:line="560" w:lineRule="exact"/>
        <w:ind w:firstLineChars="250" w:firstLine="750"/>
        <w:jc w:val="right"/>
        <w:rPr>
          <w:rFonts w:asciiTheme="minorEastAsia" w:eastAsiaTheme="minorEastAsia" w:hAnsiTheme="minorEastAsia"/>
          <w:sz w:val="30"/>
          <w:szCs w:val="30"/>
        </w:rPr>
      </w:pPr>
      <w:r w:rsidRPr="006A4ECE">
        <w:rPr>
          <w:rFonts w:asciiTheme="minorEastAsia" w:eastAsiaTheme="minorEastAsia" w:hAnsiTheme="minorEastAsia" w:hint="eastAsia"/>
          <w:sz w:val="30"/>
          <w:szCs w:val="30"/>
        </w:rPr>
        <w:t xml:space="preserve">2022年4月27日    </w:t>
      </w:r>
    </w:p>
    <w:p w:rsidR="00661C38" w:rsidRPr="006A4ECE" w:rsidRDefault="00661C38">
      <w:pPr>
        <w:rPr>
          <w:rFonts w:asciiTheme="minorEastAsia" w:eastAsiaTheme="minorEastAsia" w:hAnsiTheme="minorEastAsia"/>
        </w:rPr>
      </w:pPr>
    </w:p>
    <w:sectPr w:rsidR="00661C38" w:rsidRPr="006A4ECE" w:rsidSect="00661C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B02" w:rsidRDefault="00A75B02" w:rsidP="006A4ECE">
      <w:r>
        <w:separator/>
      </w:r>
    </w:p>
  </w:endnote>
  <w:endnote w:type="continuationSeparator" w:id="1">
    <w:p w:rsidR="00A75B02" w:rsidRDefault="00A75B02" w:rsidP="006A4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FZLTXHK">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B02" w:rsidRDefault="00A75B02" w:rsidP="006A4ECE">
      <w:r>
        <w:separator/>
      </w:r>
    </w:p>
  </w:footnote>
  <w:footnote w:type="continuationSeparator" w:id="1">
    <w:p w:rsidR="00A75B02" w:rsidRDefault="00A75B02" w:rsidP="006A4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4574"/>
    <w:multiLevelType w:val="multilevel"/>
    <w:tmpl w:val="12BB4574"/>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1C8C6500"/>
    <w:multiLevelType w:val="singleLevel"/>
    <w:tmpl w:val="1C8C6500"/>
    <w:lvl w:ilvl="0">
      <w:start w:val="1"/>
      <w:numFmt w:val="decimal"/>
      <w:lvlText w:val="%1."/>
      <w:lvlJc w:val="left"/>
      <w:pPr>
        <w:ind w:left="425" w:hanging="425"/>
      </w:pPr>
      <w:rPr>
        <w:rFonts w:hint="default"/>
      </w:rPr>
    </w:lvl>
  </w:abstractNum>
  <w:abstractNum w:abstractNumId="2">
    <w:nsid w:val="45B8547E"/>
    <w:multiLevelType w:val="multilevel"/>
    <w:tmpl w:val="45B8547E"/>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68BB"/>
    <w:rsid w:val="001154A5"/>
    <w:rsid w:val="00134A6A"/>
    <w:rsid w:val="00661C38"/>
    <w:rsid w:val="006A4ECE"/>
    <w:rsid w:val="009E68BB"/>
    <w:rsid w:val="00A75B02"/>
    <w:rsid w:val="00EE04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9E68BB"/>
    <w:rPr>
      <w:rFonts w:eastAsia="仿宋_GB2312" w:hint="eastAsia"/>
      <w:sz w:val="30"/>
    </w:rPr>
  </w:style>
  <w:style w:type="character" w:customStyle="1" w:styleId="Char">
    <w:name w:val="正文文本 Char"/>
    <w:basedOn w:val="a0"/>
    <w:link w:val="a3"/>
    <w:rsid w:val="009E68BB"/>
    <w:rPr>
      <w:rFonts w:ascii="Times New Roman" w:eastAsia="仿宋_GB2312" w:hAnsi="Times New Roman" w:cs="Times New Roman"/>
      <w:sz w:val="30"/>
      <w:szCs w:val="24"/>
    </w:rPr>
  </w:style>
  <w:style w:type="paragraph" w:styleId="a4">
    <w:name w:val="footer"/>
    <w:basedOn w:val="a"/>
    <w:link w:val="Char0"/>
    <w:uiPriority w:val="99"/>
    <w:unhideWhenUsed/>
    <w:qFormat/>
    <w:rsid w:val="009E68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9E68BB"/>
    <w:rPr>
      <w:sz w:val="18"/>
      <w:szCs w:val="18"/>
    </w:rPr>
  </w:style>
  <w:style w:type="paragraph" w:styleId="a5">
    <w:name w:val="header"/>
    <w:basedOn w:val="a"/>
    <w:link w:val="Char1"/>
    <w:uiPriority w:val="99"/>
    <w:unhideWhenUsed/>
    <w:qFormat/>
    <w:rsid w:val="009E68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9E68BB"/>
    <w:rPr>
      <w:sz w:val="18"/>
      <w:szCs w:val="18"/>
    </w:rPr>
  </w:style>
  <w:style w:type="paragraph" w:styleId="a6">
    <w:name w:val="Normal (Web)"/>
    <w:basedOn w:val="a"/>
    <w:qFormat/>
    <w:rsid w:val="009E68BB"/>
    <w:pPr>
      <w:widowControl/>
      <w:spacing w:before="100" w:beforeAutospacing="1" w:after="100" w:afterAutospacing="1"/>
      <w:jc w:val="left"/>
    </w:pPr>
    <w:rPr>
      <w:rFonts w:ascii="宋体" w:hAnsi="宋体" w:cs="宋体"/>
      <w:kern w:val="0"/>
      <w:sz w:val="24"/>
    </w:rPr>
  </w:style>
  <w:style w:type="table" w:styleId="a7">
    <w:name w:val="Table Grid"/>
    <w:basedOn w:val="a1"/>
    <w:qFormat/>
    <w:rsid w:val="009E68BB"/>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age number"/>
    <w:basedOn w:val="a0"/>
    <w:qFormat/>
    <w:rsid w:val="009E68BB"/>
  </w:style>
  <w:style w:type="paragraph" w:styleId="a9">
    <w:name w:val="List Paragraph"/>
    <w:basedOn w:val="a"/>
    <w:uiPriority w:val="34"/>
    <w:qFormat/>
    <w:rsid w:val="009E68BB"/>
    <w:pPr>
      <w:ind w:firstLineChars="200" w:firstLine="420"/>
    </w:pPr>
  </w:style>
  <w:style w:type="paragraph" w:customStyle="1" w:styleId="1">
    <w:name w:val="列出段落1"/>
    <w:basedOn w:val="a"/>
    <w:uiPriority w:val="34"/>
    <w:qFormat/>
    <w:rsid w:val="009E68BB"/>
    <w:pPr>
      <w:ind w:firstLineChars="200" w:firstLine="420"/>
    </w:pPr>
  </w:style>
  <w:style w:type="character" w:customStyle="1" w:styleId="font01">
    <w:name w:val="font01"/>
    <w:basedOn w:val="a0"/>
    <w:qFormat/>
    <w:rsid w:val="009E68BB"/>
    <w:rPr>
      <w:rFonts w:ascii="宋体" w:eastAsia="宋体" w:hAnsi="宋体" w:cs="宋体" w:hint="eastAsia"/>
      <w:color w:val="000000"/>
      <w:sz w:val="20"/>
      <w:szCs w:val="20"/>
      <w:u w:val="none"/>
    </w:rPr>
  </w:style>
  <w:style w:type="character" w:customStyle="1" w:styleId="font11">
    <w:name w:val="font11"/>
    <w:basedOn w:val="a0"/>
    <w:qFormat/>
    <w:rsid w:val="009E68BB"/>
    <w:rPr>
      <w:rFonts w:ascii="宋体" w:eastAsia="宋体" w:hAnsi="宋体" w:cs="宋体" w:hint="eastAsia"/>
      <w:color w:val="000000"/>
      <w:sz w:val="20"/>
      <w:szCs w:val="20"/>
      <w:u w:val="none"/>
    </w:rPr>
  </w:style>
  <w:style w:type="paragraph" w:customStyle="1" w:styleId="Char10">
    <w:name w:val="Char1"/>
    <w:basedOn w:val="a"/>
    <w:qFormat/>
    <w:rsid w:val="009E68BB"/>
    <w:pPr>
      <w:tabs>
        <w:tab w:val="left" w:pos="360"/>
      </w:tabs>
      <w:spacing w:line="336" w:lineRule="auto"/>
      <w:ind w:firstLineChars="196" w:firstLine="590"/>
    </w:pPr>
    <w:rPr>
      <w:rFonts w:ascii="仿宋_GB2312" w:eastAsia="仿宋_GB2312"/>
      <w:b/>
      <w:sz w:val="30"/>
      <w:szCs w:val="30"/>
    </w:rPr>
  </w:style>
  <w:style w:type="paragraph" w:customStyle="1" w:styleId="-">
    <w:name w:val="段落-方"/>
    <w:basedOn w:val="a"/>
    <w:qFormat/>
    <w:rsid w:val="009E68BB"/>
    <w:pPr>
      <w:adjustRightInd w:val="0"/>
      <w:snapToGrid w:val="0"/>
      <w:spacing w:line="360" w:lineRule="auto"/>
      <w:ind w:firstLineChars="161" w:firstLine="161"/>
    </w:pPr>
    <w:rPr>
      <w:rFonts w:ascii="仿宋_GB2312" w:eastAsia="仿宋_GB2312"/>
      <w:sz w:val="30"/>
      <w:szCs w:val="28"/>
    </w:rPr>
  </w:style>
  <w:style w:type="paragraph" w:customStyle="1" w:styleId="Default">
    <w:name w:val="Default"/>
    <w:qFormat/>
    <w:rsid w:val="009E68BB"/>
    <w:pPr>
      <w:widowControl w:val="0"/>
      <w:autoSpaceDE w:val="0"/>
      <w:autoSpaceDN w:val="0"/>
      <w:adjustRightInd w:val="0"/>
    </w:pPr>
    <w:rPr>
      <w:rFonts w:ascii="仿宋_GB2312" w:eastAsia="仿宋_GB2312" w:cs="仿宋_GB2312"/>
      <w:color w:val="000000"/>
      <w:kern w:val="0"/>
      <w:sz w:val="24"/>
      <w:szCs w:val="24"/>
    </w:rPr>
  </w:style>
  <w:style w:type="paragraph" w:customStyle="1" w:styleId="Normal012f7efe-a592-4c44-a627-acbe3dbe6b97">
    <w:name w:val="Normal_012f7efe-a592-4c44-a627-acbe3dbe6b97"/>
    <w:qFormat/>
    <w:rsid w:val="009E68BB"/>
    <w:pPr>
      <w:widowControl w:val="0"/>
      <w:jc w:val="both"/>
    </w:pPr>
    <w:rPr>
      <w:rFonts w:ascii="Calibri" w:eastAsia="宋体" w:hAnsi="Calibri" w:cs="Times New Roman"/>
      <w:szCs w:val="24"/>
    </w:rPr>
  </w:style>
  <w:style w:type="paragraph" w:styleId="aa">
    <w:name w:val="Balloon Text"/>
    <w:basedOn w:val="a"/>
    <w:link w:val="Char2"/>
    <w:uiPriority w:val="99"/>
    <w:semiHidden/>
    <w:unhideWhenUsed/>
    <w:rsid w:val="009E68BB"/>
    <w:rPr>
      <w:sz w:val="18"/>
      <w:szCs w:val="18"/>
    </w:rPr>
  </w:style>
  <w:style w:type="character" w:customStyle="1" w:styleId="Char2">
    <w:name w:val="批注框文本 Char"/>
    <w:basedOn w:val="a0"/>
    <w:link w:val="aa"/>
    <w:uiPriority w:val="99"/>
    <w:semiHidden/>
    <w:rsid w:val="009E68B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1636</Words>
  <Characters>9329</Characters>
  <Application>Microsoft Office Word</Application>
  <DocSecurity>0</DocSecurity>
  <Lines>77</Lines>
  <Paragraphs>21</Paragraphs>
  <ScaleCrop>false</ScaleCrop>
  <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xmj</dc:creator>
  <cp:keywords/>
  <dc:description/>
  <cp:lastModifiedBy>admin</cp:lastModifiedBy>
  <cp:revision>5</cp:revision>
  <dcterms:created xsi:type="dcterms:W3CDTF">2022-04-28T08:16:00Z</dcterms:created>
  <dcterms:modified xsi:type="dcterms:W3CDTF">2022-04-29T00:21:00Z</dcterms:modified>
</cp:coreProperties>
</file>