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34D2" w:rsidRDefault="007334D2" w:rsidP="007334D2">
      <w:pPr>
        <w:spacing w:line="336" w:lineRule="auto"/>
        <w:jc w:val="center"/>
        <w:rPr>
          <w:rFonts w:ascii="方正小标宋简体" w:eastAsia="方正小标宋简体" w:hAnsi="仿宋"/>
          <w:sz w:val="38"/>
          <w:szCs w:val="38"/>
        </w:rPr>
      </w:pPr>
      <w:r>
        <w:rPr>
          <w:rFonts w:ascii="方正小标宋简体" w:eastAsia="方正小标宋简体" w:hAnsi="仿宋" w:hint="eastAsia"/>
          <w:sz w:val="38"/>
          <w:szCs w:val="38"/>
        </w:rPr>
        <w:t>浙江诸暨联合村镇银行股份有限公司</w:t>
      </w:r>
    </w:p>
    <w:p w:rsidR="007334D2" w:rsidRDefault="007334D2" w:rsidP="007334D2">
      <w:pPr>
        <w:spacing w:line="336" w:lineRule="auto"/>
        <w:jc w:val="center"/>
        <w:rPr>
          <w:rFonts w:ascii="方正小标宋简体" w:eastAsia="方正小标宋简体" w:hAnsi="仿宋"/>
          <w:sz w:val="38"/>
          <w:szCs w:val="38"/>
        </w:rPr>
      </w:pPr>
      <w:r>
        <w:rPr>
          <w:rFonts w:ascii="方正小标宋简体" w:eastAsia="方正小标宋简体" w:hAnsi="仿宋" w:hint="eastAsia"/>
          <w:sz w:val="38"/>
          <w:szCs w:val="38"/>
        </w:rPr>
        <w:t>2023年度薪酬管理情况报告</w:t>
      </w:r>
    </w:p>
    <w:p w:rsidR="007334D2" w:rsidRDefault="007334D2" w:rsidP="007334D2">
      <w:pPr>
        <w:spacing w:line="336" w:lineRule="auto"/>
        <w:jc w:val="left"/>
        <w:rPr>
          <w:rFonts w:ascii="仿宋" w:eastAsia="仿宋" w:hAnsi="仿宋"/>
          <w:color w:val="000000"/>
          <w:sz w:val="30"/>
          <w:szCs w:val="30"/>
        </w:rPr>
      </w:pPr>
    </w:p>
    <w:p w:rsidR="007334D2" w:rsidRDefault="007334D2" w:rsidP="007334D2">
      <w:pPr>
        <w:spacing w:line="336" w:lineRule="auto"/>
        <w:ind w:firstLineChars="190" w:firstLine="608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>根据《商业银行稳健薪酬监管指引》（银监发〔2010〕14号）要求，董事会应每年全面、及时、客观、详实地披露薪酬管理信息，并列为年度报告披露的重要部分。薪酬信息应经董事会审议后报备银行业监督管理部门备案。根据以上要求，现将我行2023年薪</w:t>
      </w:r>
      <w:proofErr w:type="gramStart"/>
      <w:r>
        <w:rPr>
          <w:rFonts w:ascii="仿宋_GB2312" w:eastAsia="仿宋_GB2312" w:hint="eastAsia"/>
          <w:color w:val="000000"/>
          <w:sz w:val="32"/>
          <w:szCs w:val="32"/>
        </w:rPr>
        <w:t>酬</w:t>
      </w:r>
      <w:proofErr w:type="gramEnd"/>
      <w:r>
        <w:rPr>
          <w:rFonts w:ascii="仿宋_GB2312" w:eastAsia="仿宋_GB2312" w:hint="eastAsia"/>
          <w:color w:val="000000"/>
          <w:sz w:val="32"/>
          <w:szCs w:val="32"/>
        </w:rPr>
        <w:t>管理工作情况报告如下：</w:t>
      </w:r>
    </w:p>
    <w:p w:rsidR="007334D2" w:rsidRDefault="007334D2" w:rsidP="007334D2">
      <w:pPr>
        <w:spacing w:line="336" w:lineRule="auto"/>
        <w:ind w:firstLineChars="190" w:firstLine="610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 w:hint="eastAsia"/>
          <w:b/>
          <w:color w:val="000000"/>
          <w:sz w:val="32"/>
          <w:szCs w:val="32"/>
        </w:rPr>
        <w:t>一、薪酬管理工作情况</w:t>
      </w:r>
    </w:p>
    <w:p w:rsidR="007334D2" w:rsidRDefault="007334D2" w:rsidP="007334D2">
      <w:pPr>
        <w:spacing w:line="336" w:lineRule="auto"/>
        <w:ind w:firstLineChars="190" w:firstLine="608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>我行薪酬管理委员会由董事长担任组长、成员由行长、副行长、综合管理部负责人组成，下设办公室为综合管理部。薪酬管理委员会负责组织召开薪酬管理会议，审议并通过全行员工定岗定薪工作事项，负责开展全行员工年度考评、评优、薪酬调整工作，负责根据《杭州联合银行主发起村镇银行高级管理人员薪酬管理指导意见》（</w:t>
      </w:r>
      <w:proofErr w:type="gramStart"/>
      <w:r>
        <w:rPr>
          <w:rFonts w:ascii="仿宋_GB2312" w:eastAsia="仿宋_GB2312" w:hint="eastAsia"/>
          <w:color w:val="000000"/>
          <w:sz w:val="32"/>
          <w:szCs w:val="32"/>
        </w:rPr>
        <w:t>杭联银函〔2014〕</w:t>
      </w:r>
      <w:proofErr w:type="gramEnd"/>
      <w:r>
        <w:rPr>
          <w:rFonts w:ascii="仿宋_GB2312" w:eastAsia="仿宋_GB2312" w:hint="eastAsia"/>
          <w:color w:val="000000"/>
          <w:sz w:val="32"/>
          <w:szCs w:val="32"/>
        </w:rPr>
        <w:t>74号）、《杭州联合银行主发起村镇银行员工退休退岗管理指引》（</w:t>
      </w:r>
      <w:proofErr w:type="gramStart"/>
      <w:r>
        <w:rPr>
          <w:rFonts w:ascii="仿宋_GB2312" w:eastAsia="仿宋_GB2312" w:hint="eastAsia"/>
          <w:color w:val="000000"/>
          <w:sz w:val="32"/>
          <w:szCs w:val="32"/>
        </w:rPr>
        <w:t>杭联银函〔2022〕</w:t>
      </w:r>
      <w:proofErr w:type="gramEnd"/>
      <w:r>
        <w:rPr>
          <w:rFonts w:ascii="仿宋_GB2312" w:eastAsia="仿宋_GB2312" w:hint="eastAsia"/>
          <w:color w:val="000000"/>
          <w:sz w:val="32"/>
          <w:szCs w:val="32"/>
        </w:rPr>
        <w:t>52号）等文件要求，拟定《高级管理人员薪酬管理办法》、《薪酬管理报告》等报董事会审议。薪酬管理扩大会议由薪酬管理委员会组长发起召开，各一级部门负责人参加，负责讨论职能部门绩效考核办法、业务团队绩效考核方案，修订《诸暨联合村镇银行薪酬管理办法》并报董事会审议。</w:t>
      </w:r>
    </w:p>
    <w:p w:rsidR="007334D2" w:rsidRDefault="007334D2" w:rsidP="007334D2">
      <w:pPr>
        <w:spacing w:line="336" w:lineRule="auto"/>
        <w:ind w:left="567"/>
        <w:rPr>
          <w:rFonts w:ascii="仿宋_GB2312" w:eastAsia="仿宋_GB2312"/>
          <w:b/>
          <w:color w:val="000000"/>
          <w:sz w:val="32"/>
          <w:szCs w:val="32"/>
        </w:rPr>
      </w:pPr>
      <w:r>
        <w:rPr>
          <w:rFonts w:ascii="仿宋_GB2312" w:eastAsia="仿宋_GB2312" w:hint="eastAsia"/>
          <w:b/>
          <w:color w:val="000000"/>
          <w:sz w:val="32"/>
          <w:szCs w:val="32"/>
        </w:rPr>
        <w:lastRenderedPageBreak/>
        <w:t>二、薪酬管理制度制定情况</w:t>
      </w:r>
    </w:p>
    <w:p w:rsidR="007334D2" w:rsidRDefault="007334D2" w:rsidP="007334D2">
      <w:pPr>
        <w:spacing w:line="336" w:lineRule="auto"/>
        <w:ind w:firstLineChars="190" w:firstLine="608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/>
          <w:color w:val="000000"/>
          <w:sz w:val="32"/>
          <w:szCs w:val="32"/>
        </w:rPr>
        <w:t>202</w:t>
      </w:r>
      <w:r>
        <w:rPr>
          <w:rFonts w:ascii="仿宋_GB2312" w:eastAsia="仿宋_GB2312" w:hint="eastAsia"/>
          <w:color w:val="000000"/>
          <w:sz w:val="32"/>
          <w:szCs w:val="32"/>
        </w:rPr>
        <w:t>3</w:t>
      </w:r>
      <w:r>
        <w:rPr>
          <w:rFonts w:ascii="仿宋_GB2312" w:eastAsia="仿宋_GB2312"/>
          <w:color w:val="000000"/>
          <w:sz w:val="32"/>
          <w:szCs w:val="32"/>
        </w:rPr>
        <w:t>年，我行修订了《诸暨联合村镇银行客户经理等级管理办法》、《诸暨联合村镇银行风险经理等级评定办法》、《诸暨联合村镇银行柜员等级管理办法》、《诸暨联合村镇银行</w:t>
      </w:r>
      <w:r>
        <w:rPr>
          <w:rFonts w:ascii="仿宋_GB2312" w:eastAsia="仿宋_GB2312" w:hint="eastAsia"/>
          <w:color w:val="000000"/>
          <w:sz w:val="32"/>
          <w:szCs w:val="32"/>
        </w:rPr>
        <w:t>会计</w:t>
      </w:r>
      <w:r>
        <w:rPr>
          <w:rFonts w:ascii="仿宋_GB2312" w:eastAsia="仿宋_GB2312"/>
          <w:color w:val="000000"/>
          <w:sz w:val="32"/>
          <w:szCs w:val="32"/>
        </w:rPr>
        <w:t>主管等级管理办法》等薪酬相关制度。</w:t>
      </w:r>
    </w:p>
    <w:p w:rsidR="007334D2" w:rsidRDefault="007334D2" w:rsidP="007334D2">
      <w:pPr>
        <w:spacing w:line="336" w:lineRule="auto"/>
        <w:ind w:firstLineChars="190" w:firstLine="610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 w:hint="eastAsia"/>
          <w:b/>
          <w:color w:val="000000"/>
          <w:sz w:val="32"/>
          <w:szCs w:val="32"/>
        </w:rPr>
        <w:t>三、薪酬管理情况</w:t>
      </w:r>
    </w:p>
    <w:p w:rsidR="007334D2" w:rsidRDefault="007334D2" w:rsidP="007334D2">
      <w:pPr>
        <w:spacing w:line="336" w:lineRule="auto"/>
        <w:ind w:firstLine="645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截至2023年末，本行的资产规模达469396.49万元，较年初增长84418.28万元，增幅21.93%；负债规模421372.21万元，较年初增长79293.44万元，增幅23.18%；实现审计后净利润6377.73万元，未分配利润为17018.51万元；五级不良贷款绝对额为3044.41万元，五级不良率0.74%，贷款减值准备15795.71万元，拨备覆盖率518.84%。2023年末，本行在编员工人数205人，较2022年末减少12人，其中高级管理人员及中层管理人员21人，普通员工184人。全年列支工资性支出5720.04万元。其中职工工资3692.31万元，包含基础薪酬1523.63万元，基础薪酬占比</w:t>
      </w:r>
      <w:r>
        <w:rPr>
          <w:rFonts w:ascii="仿宋_GB2312" w:eastAsia="仿宋_GB2312"/>
          <w:sz w:val="32"/>
          <w:szCs w:val="32"/>
        </w:rPr>
        <w:t>26.63</w:t>
      </w:r>
      <w:r>
        <w:rPr>
          <w:rFonts w:ascii="仿宋_GB2312" w:eastAsia="仿宋_GB2312" w:hint="eastAsia"/>
          <w:sz w:val="32"/>
          <w:szCs w:val="32"/>
        </w:rPr>
        <w:t>%，符合《商业银行稳健薪酬监管指引》要求；非职工工资性支出2027.73万元，主要由员工伙食费、住房公积金、工作服、社保、工会经费、职工教育经费等组成。</w:t>
      </w:r>
    </w:p>
    <w:p w:rsidR="007334D2" w:rsidRDefault="007334D2" w:rsidP="007334D2">
      <w:pPr>
        <w:spacing w:line="336" w:lineRule="auto"/>
        <w:ind w:firstLine="645"/>
        <w:rPr>
          <w:rFonts w:ascii="仿宋_GB2312" w:eastAsia="仿宋_GB2312"/>
          <w:b/>
          <w:color w:val="000000"/>
          <w:sz w:val="32"/>
          <w:szCs w:val="32"/>
        </w:rPr>
      </w:pPr>
      <w:r>
        <w:rPr>
          <w:rFonts w:ascii="仿宋_GB2312" w:eastAsia="仿宋_GB2312" w:hint="eastAsia"/>
          <w:b/>
          <w:color w:val="000000"/>
          <w:sz w:val="32"/>
          <w:szCs w:val="32"/>
        </w:rPr>
        <w:t>四、薪酬延期支付情况</w:t>
      </w:r>
    </w:p>
    <w:p w:rsidR="007334D2" w:rsidRDefault="007334D2" w:rsidP="007334D2">
      <w:pPr>
        <w:spacing w:line="336" w:lineRule="auto"/>
        <w:ind w:firstLineChars="200" w:firstLine="640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>根据《</w:t>
      </w:r>
      <w:r>
        <w:rPr>
          <w:rFonts w:ascii="仿宋_GB2312" w:eastAsia="仿宋_GB2312" w:hAnsi="仿宋_GB2312" w:cs="宋体" w:hint="eastAsia"/>
          <w:sz w:val="32"/>
          <w:szCs w:val="32"/>
        </w:rPr>
        <w:t>诸暨联合村镇银行薪酬延期支付管理办法（试行）</w:t>
      </w:r>
      <w:r>
        <w:rPr>
          <w:rFonts w:ascii="仿宋_GB2312" w:eastAsia="仿宋_GB2312" w:hint="eastAsia"/>
          <w:color w:val="000000"/>
          <w:sz w:val="32"/>
          <w:szCs w:val="32"/>
        </w:rPr>
        <w:t>》规定，我行于2018年6月起执行延期支付，遵循高管按40%、</w:t>
      </w:r>
      <w:r>
        <w:rPr>
          <w:rFonts w:ascii="仿宋_GB2312" w:eastAsia="仿宋_GB2312" w:hint="eastAsia"/>
          <w:color w:val="000000"/>
          <w:sz w:val="32"/>
          <w:szCs w:val="32"/>
        </w:rPr>
        <w:lastRenderedPageBreak/>
        <w:t>中层管理人员不少于25%，信贷审查岗及客户经理岗不少于20%，催收岗、信贷内勤岗、会计主管岗不少于10%执行延期支付。2023年，执行延期支付170.29万元。根据主发起行对全员风险金计提相关要求，2023年，我行共计缴纳个人全员风险金及单位风险金247.93万元。</w:t>
      </w:r>
    </w:p>
    <w:p w:rsidR="007334D2" w:rsidRDefault="007334D2" w:rsidP="007334D2">
      <w:pPr>
        <w:spacing w:line="336" w:lineRule="auto"/>
        <w:ind w:firstLineChars="200" w:firstLine="640"/>
        <w:rPr>
          <w:rFonts w:ascii="仿宋_GB2312" w:eastAsia="仿宋_GB2312"/>
          <w:b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>截至2023年末，我行全员风险金余额1346.22万元（包含以前年度全员风险金），薪酬延期支付金额579.28万元，其中高管延期支付67.63万元，薪酬延期支付部分执行3年延期支付。</w:t>
      </w:r>
    </w:p>
    <w:p w:rsidR="007334D2" w:rsidRDefault="007334D2" w:rsidP="007334D2">
      <w:pPr>
        <w:adjustRightInd w:val="0"/>
        <w:snapToGrid w:val="0"/>
        <w:spacing w:line="336" w:lineRule="auto"/>
        <w:ind w:firstLineChars="200" w:firstLine="643"/>
        <w:rPr>
          <w:rFonts w:ascii="仿宋_GB2312" w:eastAsia="仿宋_GB2312"/>
          <w:b/>
          <w:color w:val="000000"/>
          <w:sz w:val="32"/>
          <w:szCs w:val="32"/>
        </w:rPr>
      </w:pPr>
      <w:r>
        <w:rPr>
          <w:rFonts w:ascii="仿宋_GB2312" w:eastAsia="仿宋_GB2312" w:hint="eastAsia"/>
          <w:b/>
          <w:color w:val="000000"/>
          <w:sz w:val="32"/>
          <w:szCs w:val="32"/>
        </w:rPr>
        <w:t>五、其他需要说明的事项</w:t>
      </w:r>
    </w:p>
    <w:p w:rsidR="007334D2" w:rsidRDefault="007334D2" w:rsidP="007334D2">
      <w:pPr>
        <w:spacing w:line="336" w:lineRule="auto"/>
        <w:ind w:firstLineChars="200" w:firstLine="640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>无。</w:t>
      </w:r>
    </w:p>
    <w:p w:rsidR="007334D2" w:rsidRDefault="007334D2" w:rsidP="007334D2">
      <w:pPr>
        <w:spacing w:line="336" w:lineRule="auto"/>
        <w:rPr>
          <w:rFonts w:ascii="仿宋_GB2312" w:eastAsia="仿宋_GB2312"/>
          <w:color w:val="000000"/>
          <w:sz w:val="32"/>
          <w:szCs w:val="32"/>
        </w:rPr>
      </w:pPr>
    </w:p>
    <w:p w:rsidR="007334D2" w:rsidRDefault="007334D2" w:rsidP="007334D2">
      <w:pPr>
        <w:spacing w:line="336" w:lineRule="auto"/>
        <w:rPr>
          <w:rFonts w:ascii="仿宋_GB2312" w:eastAsia="仿宋_GB2312" w:hint="eastAsia"/>
          <w:color w:val="000000"/>
          <w:sz w:val="32"/>
          <w:szCs w:val="32"/>
        </w:rPr>
      </w:pPr>
    </w:p>
    <w:p w:rsidR="007334D2" w:rsidRDefault="007334D2" w:rsidP="007334D2">
      <w:pPr>
        <w:spacing w:line="336" w:lineRule="auto"/>
        <w:rPr>
          <w:rFonts w:ascii="仿宋_GB2312" w:eastAsia="仿宋_GB2312"/>
          <w:color w:val="000000"/>
          <w:sz w:val="32"/>
          <w:szCs w:val="32"/>
        </w:rPr>
      </w:pPr>
    </w:p>
    <w:p w:rsidR="007334D2" w:rsidRDefault="007334D2" w:rsidP="007334D2">
      <w:pPr>
        <w:spacing w:line="336" w:lineRule="auto"/>
        <w:ind w:firstLineChars="900" w:firstLine="2880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>浙江诸暨联合村镇银行股份有限公司</w:t>
      </w:r>
    </w:p>
    <w:p w:rsidR="00DE74A5" w:rsidRDefault="007334D2" w:rsidP="007334D2">
      <w:r>
        <w:rPr>
          <w:rFonts w:ascii="仿宋_GB2312" w:eastAsia="仿宋_GB2312" w:hint="eastAsia"/>
          <w:color w:val="000000"/>
          <w:sz w:val="32"/>
          <w:szCs w:val="32"/>
        </w:rPr>
        <w:t xml:space="preserve">                           2024年4月25日   </w:t>
      </w:r>
    </w:p>
    <w:sectPr w:rsidR="00DE74A5" w:rsidSect="00DE74A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334D2"/>
    <w:rsid w:val="007334D2"/>
    <w:rsid w:val="00DE74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34D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206</Words>
  <Characters>1179</Characters>
  <Application>Microsoft Office Word</Application>
  <DocSecurity>0</DocSecurity>
  <Lines>9</Lines>
  <Paragraphs>2</Paragraphs>
  <ScaleCrop>false</ScaleCrop>
  <Company/>
  <LinksUpToDate>false</LinksUpToDate>
  <CharactersWithSpaces>1383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xmj</dc:creator>
  <cp:keywords/>
  <dc:description/>
  <cp:lastModifiedBy>xmj</cp:lastModifiedBy>
  <cp:revision>2</cp:revision>
  <dcterms:created xsi:type="dcterms:W3CDTF">2024-04-26T03:24:00Z</dcterms:created>
  <dcterms:modified xsi:type="dcterms:W3CDTF">2024-04-26T03:25:00Z</dcterms:modified>
</cp:coreProperties>
</file>